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jc w:val="center"/>
        <w:tblInd w:w="959" w:type="dxa"/>
        <w:tblLayout w:type="fixed"/>
        <w:tblLook w:val="0000" w:firstRow="0" w:lastRow="0" w:firstColumn="0" w:lastColumn="0" w:noHBand="0" w:noVBand="0"/>
      </w:tblPr>
      <w:tblGrid>
        <w:gridCol w:w="9674"/>
      </w:tblGrid>
      <w:tr w:rsidR="00EF4FFC" w:rsidRPr="00EF4FFC" w:rsidTr="00EF4FFC">
        <w:trPr>
          <w:trHeight w:val="223"/>
          <w:jc w:val="center"/>
        </w:trPr>
        <w:tc>
          <w:tcPr>
            <w:tcW w:w="9674" w:type="dxa"/>
          </w:tcPr>
          <w:p w:rsidR="00EF4FFC" w:rsidRPr="00EF4FFC" w:rsidRDefault="00EF4FFC" w:rsidP="00EF4FFC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 wp14:anchorId="029CFDDC" wp14:editId="5BC3820A">
                  <wp:extent cx="695325" cy="866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FFC" w:rsidRPr="00EF4FFC" w:rsidTr="00EF4FFC">
        <w:trPr>
          <w:cantSplit/>
          <w:trHeight w:val="850"/>
          <w:jc w:val="center"/>
        </w:trPr>
        <w:tc>
          <w:tcPr>
            <w:tcW w:w="9674" w:type="dxa"/>
          </w:tcPr>
          <w:p w:rsidR="00EF4FFC" w:rsidRPr="00EF4FFC" w:rsidRDefault="00EF4FFC" w:rsidP="00EF4FFC">
            <w:pPr>
              <w:tabs>
                <w:tab w:val="center" w:pos="4677"/>
                <w:tab w:val="right" w:pos="9355"/>
              </w:tabs>
              <w:jc w:val="center"/>
              <w:rPr>
                <w:b/>
                <w:w w:val="115"/>
                <w:sz w:val="40"/>
                <w:szCs w:val="40"/>
              </w:rPr>
            </w:pPr>
            <w:r w:rsidRPr="00EF4FFC">
              <w:rPr>
                <w:b/>
                <w:w w:val="115"/>
                <w:sz w:val="40"/>
                <w:szCs w:val="40"/>
              </w:rPr>
              <w:t>Контрольно-счетная палата</w:t>
            </w:r>
          </w:p>
          <w:p w:rsidR="00EF4FFC" w:rsidRPr="00EF4FFC" w:rsidRDefault="00EF4FFC" w:rsidP="00EF4F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w w:val="115"/>
                <w:sz w:val="28"/>
                <w:szCs w:val="28"/>
              </w:rPr>
            </w:pPr>
            <w:r w:rsidRPr="00EF4FFC">
              <w:rPr>
                <w:b/>
                <w:w w:val="115"/>
                <w:sz w:val="28"/>
                <w:szCs w:val="28"/>
              </w:rPr>
              <w:t>городского округа Котельники Московской области</w:t>
            </w:r>
          </w:p>
          <w:p w:rsidR="00EF4FFC" w:rsidRPr="00EF4FFC" w:rsidRDefault="00EF4FFC" w:rsidP="00EF4F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w w:val="115"/>
                <w:sz w:val="28"/>
                <w:szCs w:val="28"/>
              </w:rPr>
            </w:pPr>
          </w:p>
          <w:p w:rsidR="00EF4FFC" w:rsidRPr="00EF4FFC" w:rsidRDefault="00EF4FFC" w:rsidP="00EF4F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w w:val="115"/>
                <w:sz w:val="20"/>
                <w:szCs w:val="20"/>
              </w:rPr>
            </w:pPr>
            <w:r w:rsidRPr="00EF4FFC">
              <w:rPr>
                <w:w w:val="115"/>
                <w:sz w:val="20"/>
                <w:szCs w:val="20"/>
              </w:rPr>
              <w:t xml:space="preserve">ул. </w:t>
            </w:r>
            <w:proofErr w:type="gramStart"/>
            <w:r w:rsidRPr="00EF4FFC">
              <w:rPr>
                <w:w w:val="115"/>
                <w:sz w:val="20"/>
                <w:szCs w:val="20"/>
              </w:rPr>
              <w:t>Новая</w:t>
            </w:r>
            <w:proofErr w:type="gramEnd"/>
            <w:r w:rsidRPr="00EF4FFC">
              <w:rPr>
                <w:w w:val="115"/>
                <w:sz w:val="20"/>
                <w:szCs w:val="20"/>
              </w:rPr>
              <w:t>, д.14, г. Котельники,                                                                         тел.8(495)550-82-75</w:t>
            </w:r>
          </w:p>
          <w:p w:rsidR="00EF4FFC" w:rsidRPr="00EF4FFC" w:rsidRDefault="00EF4FFC" w:rsidP="00EF4F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w w:val="115"/>
                <w:sz w:val="20"/>
                <w:szCs w:val="20"/>
              </w:rPr>
            </w:pPr>
            <w:r w:rsidRPr="00EF4FFC">
              <w:rPr>
                <w:w w:val="115"/>
                <w:sz w:val="20"/>
                <w:szCs w:val="20"/>
              </w:rPr>
              <w:t>Московская область,140054                                                                              факс 8(495)550-82-75</w:t>
            </w:r>
          </w:p>
          <w:p w:rsidR="00EF4FFC" w:rsidRPr="00EF4FFC" w:rsidRDefault="00EF4FFC" w:rsidP="00EF4FF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F4FF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Pr="00EF4FFC">
              <w:rPr>
                <w:sz w:val="18"/>
                <w:szCs w:val="18"/>
                <w:lang w:val="en-US"/>
              </w:rPr>
              <w:t>e</w:t>
            </w:r>
            <w:r w:rsidRPr="00EF4FFC">
              <w:rPr>
                <w:sz w:val="20"/>
                <w:szCs w:val="20"/>
              </w:rPr>
              <w:t>-</w:t>
            </w:r>
            <w:r w:rsidRPr="00EF4FFC">
              <w:rPr>
                <w:sz w:val="20"/>
                <w:szCs w:val="20"/>
                <w:lang w:val="en-US"/>
              </w:rPr>
              <w:t>mail</w:t>
            </w:r>
            <w:r w:rsidRPr="00EF4FFC">
              <w:rPr>
                <w:sz w:val="20"/>
                <w:szCs w:val="20"/>
              </w:rPr>
              <w:t xml:space="preserve">: </w:t>
            </w:r>
            <w:hyperlink r:id="rId9" w:history="1">
              <w:r w:rsidRPr="00EF4FFC">
                <w:rPr>
                  <w:sz w:val="20"/>
                  <w:szCs w:val="20"/>
                  <w:lang w:val="en-US"/>
                </w:rPr>
                <w:t>kso</w:t>
              </w:r>
              <w:r w:rsidRPr="00EF4FFC">
                <w:rPr>
                  <w:sz w:val="20"/>
                  <w:szCs w:val="20"/>
                </w:rPr>
                <w:t>_</w:t>
              </w:r>
              <w:r w:rsidRPr="00EF4FFC">
                <w:rPr>
                  <w:sz w:val="20"/>
                  <w:szCs w:val="20"/>
                  <w:lang w:val="en-US"/>
                </w:rPr>
                <w:t>kotelniki</w:t>
              </w:r>
              <w:r w:rsidRPr="00EF4FFC">
                <w:rPr>
                  <w:sz w:val="20"/>
                  <w:szCs w:val="20"/>
                </w:rPr>
                <w:t>@</w:t>
              </w:r>
              <w:r w:rsidRPr="00EF4FFC">
                <w:rPr>
                  <w:sz w:val="20"/>
                  <w:szCs w:val="20"/>
                  <w:lang w:val="en-US"/>
                </w:rPr>
                <w:t>mail</w:t>
              </w:r>
              <w:r w:rsidRPr="00EF4FFC">
                <w:rPr>
                  <w:sz w:val="20"/>
                  <w:szCs w:val="20"/>
                </w:rPr>
                <w:t>.</w:t>
              </w:r>
              <w:proofErr w:type="spellStart"/>
              <w:r w:rsidRPr="00EF4FFC">
                <w:rPr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F4FFC" w:rsidRPr="00EF4FFC" w:rsidRDefault="00EF4FFC" w:rsidP="00EF4F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w w:val="115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F38C8D" wp14:editId="4D63E1D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48260</wp:posOffset>
                      </wp:positionV>
                      <wp:extent cx="6108065" cy="0"/>
                      <wp:effectExtent l="28575" t="26035" r="26035" b="311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8065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8pt" to="475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4eWAIAAGoEAAAOAAAAZHJzL2Uyb0RvYy54bWysVNFu0zAUfUfiHyy/d0lKV7po6YSalpcB&#10;kzY+wHWcxppjW7bXtEJIsGekfQK/wANIkwZ8Q/pHXLtpofCCEHlwru3rk3PPPc7p2aoWaMmM5Upm&#10;ODmKMWKSqoLLRYZfX816I4ysI7IgQkmW4TWz+Gz8+NFpo1PWV5USBTMIQKRNG53hyjmdRpGlFauJ&#10;PVKaSdgslamJg6lZRIUhDaDXIurH8TBqlCm0UZRZC6v5dhOPA35ZMupelaVlDokMAzcXRhPGuR+j&#10;8SlJF4boitOOBvkHFjXhEj66h8qJI+jG8D+gak6Nsqp0R1TVkSpLTlmoAapJ4t+quayIZqEWEMfq&#10;vUz2/8HSl8sLg3gBvcNIkhpa1H7cvNvctV/bT5s7tHnffm+/tJ/b+/Zbe7+5hfhh8wFiv9k+dMt3&#10;KPFKNtqmADiRF8ZrQVfyUp8rem2RVJOKyAULFV2tNXwmnIgOjviJ1cBn3rxQBeSQG6eCrKvS1B4S&#10;BEOr0L31vnts5RCFxWESj+LhMUZ0txeRdHdQG+ueM1UjH2RYcOmFJSlZnlsH1CF1l+KXpZpxIYI5&#10;hERNho8BG/xDaw1SOTDL9VXVtdwqwQuf7g9as5hPhEFL4g0XHq8MwB+kGXUjiwBfMVJMu9gRLrYx&#10;5Avp8aA4INhFW0e9OYlPpqPpaNAb9IfT3iDO896z2WTQG86Sp8f5k3wyyZO3vrpkkFa8KJj07Hbu&#10;TgZ/557unm19uff3XpjoED2UCGR370A6dNc3dGuNuSrWF8ar4RsNhg7J3eXzN+bXecj6+YsY/wAA&#10;AP//AwBQSwMEFAAGAAgAAAAhABQEBY3cAAAABwEAAA8AAABkcnMvZG93bnJldi54bWxMjsFKxDAU&#10;RfeC/xCe4G4mqTit1qaDCgq6GHAcGJeZ5tlWk5fQpNP690Y3urzcy7mnWs/WsCMOoXckIVsKYEiN&#10;0z21EnavD4srYCEq0so4QglfGGBdn55UqtRuohc8bmPLEoRCqSR0MfqS89B0aFVYOo+Uunc3WBVT&#10;HFquBzUluDX8QoicW9VTeuiUx/sOm8/taCV48WF0cbdvdD49vT0/bka/KUYpz8/m2xtgEef4N4Yf&#10;/aQOdXI6uJF0YEbCIhOrNJVQ5MBSf73KLoEdfjOvK/7fv/4GAAD//wMAUEsBAi0AFAAGAAgAAAAh&#10;ALaDOJL+AAAA4QEAABMAAAAAAAAAAAAAAAAAAAAAAFtDb250ZW50X1R5cGVzXS54bWxQSwECLQAU&#10;AAYACAAAACEAOP0h/9YAAACUAQAACwAAAAAAAAAAAAAAAAAvAQAAX3JlbHMvLnJlbHNQSwECLQAU&#10;AAYACAAAACEAWgP+HlgCAABqBAAADgAAAAAAAAAAAAAAAAAuAgAAZHJzL2Uyb0RvYy54bWxQSwEC&#10;LQAUAAYACAAAACEAFAQFjdwAAAAHAQAADwAAAAAAAAAAAAAAAACyBAAAZHJzL2Rvd25yZXYueG1s&#10;UEsFBgAAAAAEAAQA8wAAALsFAAAAAA==&#10;" strokeweight="4pt">
                      <v:stroke linestyle="thickThin"/>
                    </v:line>
                  </w:pict>
                </mc:Fallback>
              </mc:AlternateContent>
            </w:r>
            <w:r w:rsidRPr="00EF4FFC">
              <w:rPr>
                <w:sz w:val="20"/>
                <w:szCs w:val="20"/>
              </w:rPr>
              <w:tab/>
            </w:r>
          </w:p>
          <w:tbl>
            <w:tblPr>
              <w:tblpPr w:leftFromText="180" w:rightFromText="180" w:bottomFromText="200" w:vertAnchor="text" w:horzAnchor="margin" w:tblpY="221"/>
              <w:tblW w:w="9438" w:type="dxa"/>
              <w:tblLayout w:type="fixed"/>
              <w:tblLook w:val="04A0" w:firstRow="1" w:lastRow="0" w:firstColumn="1" w:lastColumn="0" w:noHBand="0" w:noVBand="1"/>
            </w:tblPr>
            <w:tblGrid>
              <w:gridCol w:w="4427"/>
              <w:gridCol w:w="5011"/>
            </w:tblGrid>
            <w:tr w:rsidR="00EF4FFC" w:rsidTr="00EF4FFC">
              <w:trPr>
                <w:trHeight w:val="469"/>
              </w:trPr>
              <w:tc>
                <w:tcPr>
                  <w:tcW w:w="4427" w:type="dxa"/>
                  <w:hideMark/>
                </w:tcPr>
                <w:p w:rsidR="00EF4FFC" w:rsidRDefault="00EF4FFC" w:rsidP="00EF4F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«</w:t>
                  </w:r>
                  <w:r w:rsidR="00075540">
                    <w:rPr>
                      <w:sz w:val="28"/>
                      <w:szCs w:val="28"/>
                    </w:rPr>
                    <w:t>14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="00075540">
                    <w:rPr>
                      <w:sz w:val="28"/>
                      <w:szCs w:val="28"/>
                    </w:rPr>
                    <w:t xml:space="preserve"> апреля 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="00075540">
                    <w:rPr>
                      <w:sz w:val="28"/>
                      <w:szCs w:val="28"/>
                    </w:rPr>
                    <w:t xml:space="preserve">14 </w:t>
                  </w:r>
                  <w:r>
                    <w:rPr>
                      <w:sz w:val="28"/>
                      <w:szCs w:val="28"/>
                    </w:rPr>
                    <w:t xml:space="preserve">года  № </w:t>
                  </w:r>
                  <w:r w:rsidR="00075540">
                    <w:rPr>
                      <w:sz w:val="28"/>
                      <w:szCs w:val="28"/>
                    </w:rPr>
                    <w:t>1</w:t>
                  </w:r>
                </w:p>
                <w:p w:rsidR="00EF4FFC" w:rsidRDefault="00EF4FFC" w:rsidP="00EF4F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11" w:type="dxa"/>
                  <w:hideMark/>
                </w:tcPr>
                <w:p w:rsidR="00EF4FFC" w:rsidRDefault="00EF4FFC" w:rsidP="00EF4FFC">
                  <w:pPr>
                    <w:jc w:val="center"/>
                    <w:rPr>
                      <w:sz w:val="28"/>
                      <w:szCs w:val="28"/>
                    </w:rPr>
                  </w:pPr>
                  <w:r w:rsidRPr="00EF4FFC">
                    <w:rPr>
                      <w:bCs/>
                      <w:sz w:val="28"/>
                      <w:szCs w:val="28"/>
                    </w:rPr>
                    <w:t>Главе городского округа Котельники</w:t>
                  </w:r>
                  <w:r>
                    <w:rPr>
                      <w:bCs/>
                      <w:sz w:val="28"/>
                      <w:szCs w:val="28"/>
                    </w:rPr>
                    <w:t xml:space="preserve"> Московской области</w:t>
                  </w:r>
                </w:p>
              </w:tc>
            </w:tr>
            <w:tr w:rsidR="00EF4FFC" w:rsidTr="00EF4FFC">
              <w:trPr>
                <w:trHeight w:val="469"/>
              </w:trPr>
              <w:tc>
                <w:tcPr>
                  <w:tcW w:w="4427" w:type="dxa"/>
                </w:tcPr>
                <w:p w:rsidR="00EF4FFC" w:rsidRDefault="00EF4FFC" w:rsidP="00EF4F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11" w:type="dxa"/>
                </w:tcPr>
                <w:p w:rsidR="00EF4FFC" w:rsidRDefault="00EF4FFC" w:rsidP="00EF4FF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F4FFC" w:rsidRDefault="00EF4FFC" w:rsidP="00EF4F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А.Ю. </w:t>
                  </w:r>
                  <w:proofErr w:type="spellStart"/>
                  <w:r>
                    <w:rPr>
                      <w:sz w:val="28"/>
                      <w:szCs w:val="28"/>
                    </w:rPr>
                    <w:t>Седзеневскому</w:t>
                  </w:r>
                  <w:proofErr w:type="spellEnd"/>
                </w:p>
              </w:tc>
            </w:tr>
          </w:tbl>
          <w:p w:rsidR="00EF4FFC" w:rsidRPr="00EF4FFC" w:rsidRDefault="00EF4FFC" w:rsidP="00EF4FFC">
            <w:pPr>
              <w:jc w:val="center"/>
            </w:pPr>
          </w:p>
        </w:tc>
      </w:tr>
    </w:tbl>
    <w:tbl>
      <w:tblPr>
        <w:tblStyle w:val="12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1A0193" w:rsidTr="008C5AAE">
        <w:tc>
          <w:tcPr>
            <w:tcW w:w="4926" w:type="dxa"/>
          </w:tcPr>
          <w:p w:rsidR="001A0193" w:rsidRDefault="001A0193" w:rsidP="008C5AAE">
            <w:pPr>
              <w:pStyle w:val="a6"/>
              <w:jc w:val="center"/>
              <w:rPr>
                <w:sz w:val="28"/>
                <w:szCs w:val="28"/>
              </w:rPr>
            </w:pPr>
          </w:p>
          <w:p w:rsidR="001A0193" w:rsidRDefault="001A0193" w:rsidP="008C5AA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Совета депутатов городского округа Котельники Московской области</w:t>
            </w:r>
          </w:p>
          <w:p w:rsidR="001A0193" w:rsidRDefault="001A0193" w:rsidP="008C5AAE">
            <w:pPr>
              <w:pStyle w:val="a6"/>
              <w:jc w:val="center"/>
              <w:rPr>
                <w:sz w:val="28"/>
                <w:szCs w:val="28"/>
              </w:rPr>
            </w:pPr>
          </w:p>
          <w:p w:rsidR="001A0193" w:rsidRDefault="001A0193" w:rsidP="008C5AA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Бондаренко</w:t>
            </w:r>
          </w:p>
        </w:tc>
      </w:tr>
    </w:tbl>
    <w:p w:rsidR="00EF4FFC" w:rsidRDefault="00EF4FFC" w:rsidP="00EF4F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515DB" w:rsidRDefault="00F515DB" w:rsidP="00EF4F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F4FFC" w:rsidRPr="00EF4FFC" w:rsidRDefault="00EF4FFC" w:rsidP="00EF4F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F4FFC">
        <w:rPr>
          <w:b/>
          <w:bCs/>
          <w:color w:val="000000"/>
          <w:sz w:val="28"/>
          <w:szCs w:val="28"/>
        </w:rPr>
        <w:t>ЗАКЛЮЧЕНИЕ</w:t>
      </w:r>
    </w:p>
    <w:p w:rsidR="00EF4FFC" w:rsidRPr="00EF4FFC" w:rsidRDefault="00EF4FFC" w:rsidP="00EF4F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F4FFC">
        <w:rPr>
          <w:b/>
          <w:bCs/>
          <w:color w:val="000000"/>
          <w:sz w:val="28"/>
          <w:szCs w:val="28"/>
        </w:rPr>
        <w:t>на годовой отчет об исполнении бюджета городского округа</w:t>
      </w:r>
    </w:p>
    <w:p w:rsidR="00EF4FFC" w:rsidRPr="00EF4FFC" w:rsidRDefault="00EF4FFC" w:rsidP="00EF4F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F4FFC">
        <w:rPr>
          <w:b/>
          <w:bCs/>
          <w:color w:val="000000"/>
          <w:sz w:val="28"/>
          <w:szCs w:val="28"/>
        </w:rPr>
        <w:t xml:space="preserve"> Котельники Московской области за 201</w:t>
      </w:r>
      <w:r>
        <w:rPr>
          <w:b/>
          <w:bCs/>
          <w:color w:val="000000"/>
          <w:sz w:val="28"/>
          <w:szCs w:val="28"/>
        </w:rPr>
        <w:t>3</w:t>
      </w:r>
      <w:r w:rsidRPr="00EF4FFC">
        <w:rPr>
          <w:b/>
          <w:bCs/>
          <w:color w:val="000000"/>
          <w:sz w:val="28"/>
          <w:szCs w:val="28"/>
        </w:rPr>
        <w:t xml:space="preserve"> год</w:t>
      </w:r>
    </w:p>
    <w:p w:rsidR="00EF4FFC" w:rsidRPr="00EF4FFC" w:rsidRDefault="00EF4FFC" w:rsidP="00EF4FF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F4FFC">
        <w:rPr>
          <w:color w:val="000000"/>
          <w:sz w:val="28"/>
          <w:szCs w:val="28"/>
        </w:rPr>
        <w:t xml:space="preserve"> </w:t>
      </w:r>
    </w:p>
    <w:p w:rsidR="00EF4FFC" w:rsidRPr="00EF4FFC" w:rsidRDefault="00EF4FFC" w:rsidP="00EF4FF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EF4FFC">
        <w:rPr>
          <w:color w:val="000000"/>
          <w:sz w:val="28"/>
          <w:szCs w:val="28"/>
        </w:rPr>
        <w:t>Заключение Контрольно-счетно</w:t>
      </w:r>
      <w:r>
        <w:rPr>
          <w:color w:val="000000"/>
          <w:sz w:val="28"/>
          <w:szCs w:val="28"/>
        </w:rPr>
        <w:t>й</w:t>
      </w:r>
      <w:r w:rsidRPr="00EF4F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EF4FFC">
        <w:rPr>
          <w:color w:val="000000"/>
          <w:sz w:val="28"/>
          <w:szCs w:val="28"/>
        </w:rPr>
        <w:t xml:space="preserve"> городского округа Котельники Московской области </w:t>
      </w:r>
      <w:r w:rsidRPr="00EF4FFC">
        <w:rPr>
          <w:bCs/>
          <w:color w:val="000000"/>
          <w:sz w:val="28"/>
          <w:szCs w:val="28"/>
        </w:rPr>
        <w:t>на годовой отчет об исполнении бюджета городского округа  Котельники Московской области за 201</w:t>
      </w:r>
      <w:r>
        <w:rPr>
          <w:bCs/>
          <w:color w:val="000000"/>
          <w:sz w:val="28"/>
          <w:szCs w:val="28"/>
        </w:rPr>
        <w:t>3</w:t>
      </w:r>
      <w:r w:rsidRPr="00EF4FFC">
        <w:rPr>
          <w:bCs/>
          <w:color w:val="000000"/>
          <w:sz w:val="28"/>
          <w:szCs w:val="28"/>
        </w:rPr>
        <w:t xml:space="preserve"> год </w:t>
      </w:r>
      <w:r w:rsidRPr="00EF4FFC">
        <w:rPr>
          <w:color w:val="000000"/>
          <w:sz w:val="28"/>
          <w:szCs w:val="28"/>
        </w:rPr>
        <w:t xml:space="preserve"> подготовлено в соответствии с требованиями Бюджетного кодекса Российской Федерации </w:t>
      </w:r>
      <w:r w:rsidRPr="00EF4FFC">
        <w:rPr>
          <w:iCs/>
          <w:color w:val="000000"/>
          <w:sz w:val="28"/>
          <w:szCs w:val="28"/>
        </w:rPr>
        <w:t>(далее - БК РФ)</w:t>
      </w:r>
      <w:r w:rsidRPr="00EF4FFC">
        <w:rPr>
          <w:i/>
          <w:iCs/>
          <w:color w:val="000000"/>
          <w:sz w:val="28"/>
          <w:szCs w:val="28"/>
        </w:rPr>
        <w:t>,</w:t>
      </w:r>
      <w:r w:rsidRPr="00EF4FFC">
        <w:rPr>
          <w:color w:val="000000"/>
          <w:sz w:val="28"/>
          <w:szCs w:val="28"/>
        </w:rPr>
        <w:t xml:space="preserve"> </w:t>
      </w:r>
      <w:r w:rsidRPr="00EF4FFC">
        <w:rPr>
          <w:sz w:val="28"/>
          <w:szCs w:val="28"/>
        </w:rPr>
        <w:t>Положением «О бюджетном процессе в городском округе Котельники»</w:t>
      </w:r>
      <w:r w:rsidRPr="00EF4FFC">
        <w:rPr>
          <w:color w:val="000000"/>
          <w:sz w:val="28"/>
          <w:szCs w:val="28"/>
        </w:rPr>
        <w:t>, утвержденн</w:t>
      </w:r>
      <w:r>
        <w:rPr>
          <w:color w:val="000000"/>
          <w:sz w:val="28"/>
          <w:szCs w:val="28"/>
        </w:rPr>
        <w:t>ы</w:t>
      </w:r>
      <w:r w:rsidRPr="00EF4FFC">
        <w:rPr>
          <w:color w:val="000000"/>
          <w:sz w:val="28"/>
          <w:szCs w:val="28"/>
        </w:rPr>
        <w:t xml:space="preserve">м Решением Совета депутатов городского округа Котельники Московской области от </w:t>
      </w:r>
      <w:r>
        <w:rPr>
          <w:color w:val="000000"/>
          <w:sz w:val="28"/>
          <w:szCs w:val="28"/>
        </w:rPr>
        <w:t>13.11.2013</w:t>
      </w:r>
      <w:r w:rsidRPr="00EF4FF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557/77</w:t>
      </w:r>
      <w:r w:rsidRPr="00EF4FFC">
        <w:rPr>
          <w:color w:val="000000"/>
          <w:sz w:val="28"/>
          <w:szCs w:val="28"/>
        </w:rPr>
        <w:t xml:space="preserve"> (далее - </w:t>
      </w:r>
      <w:r w:rsidRPr="00EF4FFC">
        <w:rPr>
          <w:sz w:val="28"/>
          <w:szCs w:val="28"/>
        </w:rPr>
        <w:t>Положение о бюджетном процессе</w:t>
      </w:r>
      <w:proofErr w:type="gramEnd"/>
      <w:r w:rsidRPr="00EF4FFC">
        <w:rPr>
          <w:sz w:val="28"/>
          <w:szCs w:val="28"/>
        </w:rPr>
        <w:t xml:space="preserve"> в городском округе Котельники)</w:t>
      </w:r>
      <w:r w:rsidRPr="00EF4FFC">
        <w:rPr>
          <w:color w:val="000000"/>
          <w:sz w:val="28"/>
          <w:szCs w:val="28"/>
        </w:rPr>
        <w:t xml:space="preserve">, Положением </w:t>
      </w:r>
      <w:r>
        <w:rPr>
          <w:color w:val="000000"/>
          <w:sz w:val="28"/>
          <w:szCs w:val="28"/>
        </w:rPr>
        <w:t>о</w:t>
      </w:r>
      <w:r w:rsidRPr="00EF4FFC">
        <w:rPr>
          <w:color w:val="000000"/>
          <w:sz w:val="28"/>
          <w:szCs w:val="28"/>
        </w:rPr>
        <w:t xml:space="preserve"> Контрольно-счетно</w:t>
      </w:r>
      <w:r>
        <w:rPr>
          <w:color w:val="000000"/>
          <w:sz w:val="28"/>
          <w:szCs w:val="28"/>
        </w:rPr>
        <w:t>й</w:t>
      </w:r>
      <w:r w:rsidRPr="00EF4F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палате</w:t>
      </w:r>
      <w:r w:rsidRPr="00EF4FFC">
        <w:rPr>
          <w:color w:val="000000"/>
          <w:sz w:val="28"/>
          <w:szCs w:val="28"/>
        </w:rPr>
        <w:t xml:space="preserve"> городского округа Котельники Московской области», утвержденн</w:t>
      </w:r>
      <w:r>
        <w:rPr>
          <w:color w:val="000000"/>
          <w:sz w:val="28"/>
          <w:szCs w:val="28"/>
        </w:rPr>
        <w:t>ы</w:t>
      </w:r>
      <w:r w:rsidRPr="00EF4FFC">
        <w:rPr>
          <w:color w:val="000000"/>
          <w:sz w:val="28"/>
          <w:szCs w:val="28"/>
        </w:rPr>
        <w:t xml:space="preserve">м Решением Совета депутатов городского округа Котельники Московской области от </w:t>
      </w:r>
      <w:r>
        <w:rPr>
          <w:color w:val="000000"/>
          <w:sz w:val="28"/>
          <w:szCs w:val="28"/>
        </w:rPr>
        <w:t>04.12</w:t>
      </w:r>
      <w:r w:rsidRPr="00EF4FFC">
        <w:rPr>
          <w:color w:val="000000"/>
          <w:sz w:val="28"/>
          <w:szCs w:val="28"/>
        </w:rPr>
        <w:t>.2013 №</w:t>
      </w:r>
      <w:r>
        <w:rPr>
          <w:color w:val="000000"/>
          <w:sz w:val="28"/>
          <w:szCs w:val="28"/>
        </w:rPr>
        <w:t xml:space="preserve"> 575/79</w:t>
      </w:r>
      <w:r w:rsidRPr="00EF4FFC">
        <w:rPr>
          <w:color w:val="000000"/>
          <w:sz w:val="28"/>
          <w:szCs w:val="28"/>
        </w:rPr>
        <w:t>.</w:t>
      </w:r>
    </w:p>
    <w:p w:rsidR="00EF4FFC" w:rsidRPr="00EF4FFC" w:rsidRDefault="00EF4FFC" w:rsidP="00EF4FF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F4FFC">
        <w:rPr>
          <w:color w:val="000000"/>
          <w:sz w:val="28"/>
          <w:szCs w:val="28"/>
        </w:rPr>
        <w:t>Годовой отчет об исполнении бюджета городского округа Котельники Московской области за 201</w:t>
      </w:r>
      <w:r>
        <w:rPr>
          <w:color w:val="000000"/>
          <w:sz w:val="28"/>
          <w:szCs w:val="28"/>
        </w:rPr>
        <w:t>3</w:t>
      </w:r>
      <w:r w:rsidRPr="00EF4FFC">
        <w:rPr>
          <w:color w:val="000000"/>
          <w:sz w:val="28"/>
          <w:szCs w:val="28"/>
        </w:rPr>
        <w:t xml:space="preserve"> год направлен на рассмотрение в Контрольно-счетн</w:t>
      </w:r>
      <w:r>
        <w:rPr>
          <w:color w:val="000000"/>
          <w:sz w:val="28"/>
          <w:szCs w:val="28"/>
        </w:rPr>
        <w:t>ую</w:t>
      </w:r>
      <w:r w:rsidRPr="00EF4F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палату</w:t>
      </w:r>
      <w:r w:rsidRPr="00EF4FFC">
        <w:rPr>
          <w:color w:val="000000"/>
          <w:sz w:val="28"/>
          <w:szCs w:val="28"/>
        </w:rPr>
        <w:t xml:space="preserve">, с соблюдением сроков, установленных ст. 264.4 БК РФ и ст. </w:t>
      </w:r>
      <w:r>
        <w:rPr>
          <w:color w:val="000000"/>
          <w:sz w:val="28"/>
          <w:szCs w:val="28"/>
        </w:rPr>
        <w:t>15</w:t>
      </w:r>
      <w:r w:rsidRPr="00EF4FFC">
        <w:rPr>
          <w:color w:val="000000"/>
          <w:sz w:val="28"/>
          <w:szCs w:val="28"/>
        </w:rPr>
        <w:t xml:space="preserve"> </w:t>
      </w:r>
      <w:r w:rsidRPr="00EF4FFC">
        <w:rPr>
          <w:sz w:val="28"/>
          <w:szCs w:val="28"/>
        </w:rPr>
        <w:t>Положения о бюджетном процессе в городском округе Котельники</w:t>
      </w:r>
      <w:r w:rsidRPr="00EF4FFC">
        <w:rPr>
          <w:color w:val="000000"/>
          <w:sz w:val="28"/>
          <w:szCs w:val="28"/>
        </w:rPr>
        <w:t>.</w:t>
      </w:r>
    </w:p>
    <w:p w:rsidR="00EF4FFC" w:rsidRPr="00EF4FFC" w:rsidRDefault="00EF4FFC" w:rsidP="00EF4FFC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EF4FFC">
        <w:rPr>
          <w:color w:val="000000"/>
          <w:sz w:val="28"/>
          <w:szCs w:val="28"/>
        </w:rPr>
        <w:tab/>
        <w:t xml:space="preserve">Внешняя проверка годового отчета об исполнении бюджета городского </w:t>
      </w:r>
      <w:r w:rsidRPr="00EF4FFC">
        <w:rPr>
          <w:color w:val="000000"/>
          <w:sz w:val="28"/>
          <w:szCs w:val="28"/>
        </w:rPr>
        <w:lastRenderedPageBreak/>
        <w:t>округа Котельники Московской области за 201</w:t>
      </w:r>
      <w:r>
        <w:rPr>
          <w:color w:val="000000"/>
          <w:sz w:val="28"/>
          <w:szCs w:val="28"/>
        </w:rPr>
        <w:t>3</w:t>
      </w:r>
      <w:r w:rsidRPr="00EF4FFC">
        <w:rPr>
          <w:color w:val="000000"/>
          <w:sz w:val="28"/>
          <w:szCs w:val="28"/>
        </w:rPr>
        <w:t xml:space="preserve"> год (далее – отчет об исполнении бюджета) проведена в соответствии </w:t>
      </w:r>
      <w:proofErr w:type="gramStart"/>
      <w:r w:rsidRPr="00EF4FFC">
        <w:rPr>
          <w:color w:val="000000"/>
          <w:sz w:val="28"/>
          <w:szCs w:val="28"/>
        </w:rPr>
        <w:t>с</w:t>
      </w:r>
      <w:proofErr w:type="gramEnd"/>
      <w:r w:rsidRPr="00EF4FFC">
        <w:rPr>
          <w:color w:val="000000"/>
          <w:sz w:val="28"/>
          <w:szCs w:val="28"/>
        </w:rPr>
        <w:t xml:space="preserve"> </w:t>
      </w:r>
      <w:proofErr w:type="gramStart"/>
      <w:r w:rsidRPr="00EF4FFC">
        <w:rPr>
          <w:color w:val="000000"/>
          <w:sz w:val="28"/>
          <w:szCs w:val="28"/>
        </w:rPr>
        <w:t>требованиям</w:t>
      </w:r>
      <w:proofErr w:type="gramEnd"/>
      <w:r w:rsidRPr="00EF4FFC">
        <w:rPr>
          <w:color w:val="000000"/>
          <w:sz w:val="28"/>
          <w:szCs w:val="28"/>
        </w:rPr>
        <w:t xml:space="preserve"> ст. 157 и ст. 264.4 БК РФ.</w:t>
      </w:r>
    </w:p>
    <w:p w:rsidR="00EF4FFC" w:rsidRPr="00EF4FFC" w:rsidRDefault="00EF4FFC" w:rsidP="00EF4FF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F4FFC">
        <w:rPr>
          <w:rFonts w:eastAsia="Calibri"/>
          <w:color w:val="000000"/>
          <w:sz w:val="28"/>
          <w:szCs w:val="28"/>
          <w:lang w:eastAsia="en-US"/>
        </w:rPr>
        <w:t>Целью подготовки заключения на отчет об исполнении бюджета (далее-заключение) является определении полноты поступления доходов и иных платежей в городском округе Котельники, привлечения и погашения источников финансирования дефицита бюджета,  фактического расходования средств местного бюджета по сравнению с показателями, утвержденными решением о бюджете городского округа Котельники  по объему и структуре, а также установлению законности, целевого назначения и эффективности финансирования и использования средств</w:t>
      </w:r>
      <w:proofErr w:type="gramEnd"/>
      <w:r w:rsidRPr="00EF4FFC">
        <w:rPr>
          <w:rFonts w:eastAsia="Calibri"/>
          <w:color w:val="000000"/>
          <w:sz w:val="28"/>
          <w:szCs w:val="28"/>
          <w:lang w:eastAsia="en-US"/>
        </w:rPr>
        <w:t xml:space="preserve"> городского округа в 201</w:t>
      </w:r>
      <w:r>
        <w:rPr>
          <w:rFonts w:eastAsia="Calibri"/>
          <w:color w:val="000000"/>
          <w:sz w:val="28"/>
          <w:szCs w:val="28"/>
          <w:lang w:eastAsia="en-US"/>
        </w:rPr>
        <w:t>3</w:t>
      </w:r>
      <w:r w:rsidRPr="00EF4FFC">
        <w:rPr>
          <w:rFonts w:eastAsia="Calibri"/>
          <w:color w:val="000000"/>
          <w:sz w:val="28"/>
          <w:szCs w:val="28"/>
          <w:lang w:eastAsia="en-US"/>
        </w:rPr>
        <w:t xml:space="preserve"> году.</w:t>
      </w:r>
    </w:p>
    <w:p w:rsidR="00EF4FFC" w:rsidRPr="00EF4FFC" w:rsidRDefault="00EF4FFC" w:rsidP="00EF4FFC">
      <w:pPr>
        <w:jc w:val="both"/>
        <w:rPr>
          <w:rFonts w:eastAsia="Calibri"/>
          <w:sz w:val="28"/>
          <w:szCs w:val="28"/>
          <w:lang w:eastAsia="en-US"/>
        </w:rPr>
      </w:pPr>
      <w:r w:rsidRPr="00EF4FFC">
        <w:rPr>
          <w:rFonts w:eastAsia="Calibri"/>
          <w:lang w:eastAsia="en-US"/>
        </w:rPr>
        <w:t xml:space="preserve"> </w:t>
      </w:r>
      <w:r w:rsidRPr="00EF4FFC">
        <w:rPr>
          <w:rFonts w:eastAsia="Calibri"/>
          <w:lang w:eastAsia="en-US"/>
        </w:rPr>
        <w:tab/>
      </w:r>
      <w:r w:rsidRPr="00EF4FFC">
        <w:rPr>
          <w:rFonts w:eastAsia="Calibri"/>
          <w:sz w:val="28"/>
          <w:szCs w:val="28"/>
          <w:lang w:eastAsia="en-US"/>
        </w:rPr>
        <w:t xml:space="preserve">Задачами внешней проверки отчета об исполнения бюджета городского округа являются: </w:t>
      </w:r>
    </w:p>
    <w:p w:rsidR="00EF4FFC" w:rsidRPr="00EF4FFC" w:rsidRDefault="00EF4FFC" w:rsidP="0041081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FFC">
        <w:rPr>
          <w:rFonts w:eastAsia="Calibri"/>
          <w:color w:val="000000"/>
          <w:sz w:val="28"/>
          <w:szCs w:val="28"/>
          <w:lang w:eastAsia="en-US"/>
        </w:rPr>
        <w:t xml:space="preserve">    определение  соблюдения единого порядка составления и предоставления годовой бюджетной отчетности, ее соответствия требованиям, предъявляемым к ней Бюджетного  кодекса Российской Федерации и нормативными правовыми актами Министерства  финансов Российской Федерации;</w:t>
      </w:r>
    </w:p>
    <w:p w:rsidR="00EF4FFC" w:rsidRPr="00EF4FFC" w:rsidRDefault="00904CC5" w:rsidP="00410812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F4FFC" w:rsidRPr="00EF4FFC">
        <w:rPr>
          <w:rFonts w:eastAsia="Calibri"/>
          <w:color w:val="000000"/>
          <w:sz w:val="28"/>
          <w:szCs w:val="28"/>
          <w:lang w:eastAsia="en-US"/>
        </w:rPr>
        <w:t xml:space="preserve">оценка отчетных показателей по исполнению бюджета городского округа Котельники на предмет </w:t>
      </w:r>
      <w:proofErr w:type="gramStart"/>
      <w:r w:rsidR="00EF4FFC" w:rsidRPr="00EF4FFC">
        <w:rPr>
          <w:rFonts w:eastAsia="Calibri"/>
          <w:color w:val="000000"/>
          <w:sz w:val="28"/>
          <w:szCs w:val="28"/>
          <w:lang w:eastAsia="en-US"/>
        </w:rPr>
        <w:t>определения соответствия исполненных показателей бюджета городского округа</w:t>
      </w:r>
      <w:proofErr w:type="gramEnd"/>
      <w:r w:rsidR="00EF4FFC" w:rsidRPr="00EF4FFC">
        <w:rPr>
          <w:rFonts w:eastAsia="Calibri"/>
          <w:color w:val="000000"/>
          <w:sz w:val="28"/>
          <w:szCs w:val="28"/>
          <w:lang w:eastAsia="en-US"/>
        </w:rPr>
        <w:t xml:space="preserve"> Котельники показателям,  установленным решением Советом депутатов на отчетный финансовый год;</w:t>
      </w:r>
    </w:p>
    <w:p w:rsidR="00EF4FFC" w:rsidRPr="00EF4FFC" w:rsidRDefault="00904CC5" w:rsidP="00410812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F4FFC" w:rsidRPr="00EF4FFC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proofErr w:type="gramStart"/>
      <w:r w:rsidR="00EF4FFC" w:rsidRPr="00EF4FFC">
        <w:rPr>
          <w:rFonts w:eastAsia="Calibri"/>
          <w:color w:val="000000"/>
          <w:sz w:val="28"/>
          <w:szCs w:val="28"/>
          <w:lang w:eastAsia="en-US"/>
        </w:rPr>
        <w:t>качества планирования прогнозных параметров исполнения бюджета городского округа</w:t>
      </w:r>
      <w:proofErr w:type="gramEnd"/>
      <w:r w:rsidR="00EF4FFC" w:rsidRPr="00EF4FFC">
        <w:rPr>
          <w:rFonts w:eastAsia="Calibri"/>
          <w:color w:val="000000"/>
          <w:sz w:val="28"/>
          <w:szCs w:val="28"/>
          <w:lang w:eastAsia="en-US"/>
        </w:rPr>
        <w:t xml:space="preserve"> Котельники;</w:t>
      </w:r>
    </w:p>
    <w:p w:rsidR="00EF4FFC" w:rsidRPr="00EF4FFC" w:rsidRDefault="00904CC5" w:rsidP="00410812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F4FFC" w:rsidRPr="00EF4FFC">
        <w:rPr>
          <w:rFonts w:eastAsia="Calibri"/>
          <w:color w:val="000000"/>
          <w:sz w:val="28"/>
          <w:szCs w:val="28"/>
          <w:lang w:eastAsia="en-US"/>
        </w:rPr>
        <w:t>определение системных недостатков при осуществлении планирования и исполнения бюджета городского округа Котельники.</w:t>
      </w:r>
    </w:p>
    <w:p w:rsidR="00EF4FFC" w:rsidRPr="00EF4FFC" w:rsidRDefault="00EF4FFC" w:rsidP="00EF4FFC">
      <w:pPr>
        <w:ind w:firstLine="540"/>
        <w:jc w:val="both"/>
        <w:rPr>
          <w:sz w:val="28"/>
          <w:szCs w:val="28"/>
        </w:rPr>
      </w:pPr>
      <w:r w:rsidRPr="00EF4FFC">
        <w:rPr>
          <w:sz w:val="28"/>
          <w:szCs w:val="28"/>
        </w:rPr>
        <w:t>Согласно п.3 ст. 264.1. БК РФ, бюджетная отч</w:t>
      </w:r>
      <w:r w:rsidR="00AA3550">
        <w:rPr>
          <w:sz w:val="28"/>
          <w:szCs w:val="28"/>
        </w:rPr>
        <w:t>е</w:t>
      </w:r>
      <w:r w:rsidRPr="00EF4FFC">
        <w:rPr>
          <w:sz w:val="28"/>
          <w:szCs w:val="28"/>
        </w:rPr>
        <w:t>тность включает в себя:</w:t>
      </w:r>
    </w:p>
    <w:p w:rsidR="00EF4FFC" w:rsidRPr="00EF4FFC" w:rsidRDefault="00EF4FFC" w:rsidP="00410812">
      <w:pPr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 w:rsidRPr="00EF4FFC">
        <w:rPr>
          <w:sz w:val="28"/>
          <w:szCs w:val="28"/>
        </w:rPr>
        <w:t>отч</w:t>
      </w:r>
      <w:r w:rsidR="00AA3550">
        <w:rPr>
          <w:sz w:val="28"/>
          <w:szCs w:val="28"/>
        </w:rPr>
        <w:t>е</w:t>
      </w:r>
      <w:r w:rsidRPr="00EF4FFC">
        <w:rPr>
          <w:sz w:val="28"/>
          <w:szCs w:val="28"/>
        </w:rPr>
        <w:t>т об исполнении бюджета;</w:t>
      </w:r>
    </w:p>
    <w:p w:rsidR="00EF4FFC" w:rsidRPr="00EF4FFC" w:rsidRDefault="00EF4FFC" w:rsidP="00410812">
      <w:pPr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 w:rsidRPr="00EF4FFC">
        <w:rPr>
          <w:sz w:val="28"/>
          <w:szCs w:val="28"/>
        </w:rPr>
        <w:t>баланс исполнения бюджета;</w:t>
      </w:r>
    </w:p>
    <w:p w:rsidR="00EF4FFC" w:rsidRPr="00EF4FFC" w:rsidRDefault="00EF4FFC" w:rsidP="00410812">
      <w:pPr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 w:rsidRPr="00EF4FFC">
        <w:rPr>
          <w:sz w:val="28"/>
          <w:szCs w:val="28"/>
        </w:rPr>
        <w:t>отч</w:t>
      </w:r>
      <w:r w:rsidR="00AA3550">
        <w:rPr>
          <w:sz w:val="28"/>
          <w:szCs w:val="28"/>
        </w:rPr>
        <w:t>е</w:t>
      </w:r>
      <w:r w:rsidRPr="00EF4FFC">
        <w:rPr>
          <w:sz w:val="28"/>
          <w:szCs w:val="28"/>
        </w:rPr>
        <w:t>т о финансовых результатах деятельности;</w:t>
      </w:r>
    </w:p>
    <w:p w:rsidR="00EF4FFC" w:rsidRPr="00EF4FFC" w:rsidRDefault="00EF4FFC" w:rsidP="00410812">
      <w:pPr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 w:rsidRPr="00EF4FFC">
        <w:rPr>
          <w:sz w:val="28"/>
          <w:szCs w:val="28"/>
        </w:rPr>
        <w:t>отч</w:t>
      </w:r>
      <w:r w:rsidR="00AA3550">
        <w:rPr>
          <w:sz w:val="28"/>
          <w:szCs w:val="28"/>
        </w:rPr>
        <w:t>е</w:t>
      </w:r>
      <w:r w:rsidRPr="00EF4FFC">
        <w:rPr>
          <w:sz w:val="28"/>
          <w:szCs w:val="28"/>
        </w:rPr>
        <w:t>т о движении денежных средств;</w:t>
      </w:r>
    </w:p>
    <w:p w:rsidR="00EF4FFC" w:rsidRPr="00EF4FFC" w:rsidRDefault="00EF4FFC" w:rsidP="00410812">
      <w:pPr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 w:rsidRPr="00EF4FFC">
        <w:rPr>
          <w:sz w:val="28"/>
          <w:szCs w:val="28"/>
        </w:rPr>
        <w:t>пояснительную записку.</w:t>
      </w:r>
    </w:p>
    <w:p w:rsidR="00EF4FFC" w:rsidRPr="00EF4FFC" w:rsidRDefault="00EF4FFC" w:rsidP="00EF4FFC">
      <w:pPr>
        <w:ind w:firstLine="540"/>
        <w:jc w:val="both"/>
        <w:rPr>
          <w:sz w:val="28"/>
          <w:szCs w:val="28"/>
        </w:rPr>
      </w:pPr>
      <w:r w:rsidRPr="00EF4FFC">
        <w:rPr>
          <w:sz w:val="28"/>
          <w:szCs w:val="28"/>
        </w:rPr>
        <w:t>Анализ отчета об исполнении бюджета осуществлялся путем сравнения значений бюджетного назначения по конкретным кодам бюджетной классификации с данными, приведенными в отчете и с данными по исполнению бюджета городского округа Котельники Московской области за 201</w:t>
      </w:r>
      <w:r w:rsidR="00CC22BD">
        <w:rPr>
          <w:sz w:val="28"/>
          <w:szCs w:val="28"/>
        </w:rPr>
        <w:t>2</w:t>
      </w:r>
      <w:r w:rsidRPr="00EF4FFC">
        <w:rPr>
          <w:sz w:val="28"/>
          <w:szCs w:val="28"/>
        </w:rPr>
        <w:t xml:space="preserve"> год.</w:t>
      </w:r>
    </w:p>
    <w:p w:rsidR="00EF4FFC" w:rsidRPr="00EF4FFC" w:rsidRDefault="00EF4FFC" w:rsidP="00EF4FF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F4FFC" w:rsidRPr="008F521B" w:rsidRDefault="00EF4FFC" w:rsidP="00EF4FFC">
      <w:pPr>
        <w:widowControl w:val="0"/>
        <w:autoSpaceDE w:val="0"/>
        <w:autoSpaceDN w:val="0"/>
        <w:adjustRightInd w:val="0"/>
        <w:ind w:firstLine="225"/>
        <w:jc w:val="center"/>
        <w:rPr>
          <w:color w:val="000000"/>
          <w:sz w:val="28"/>
          <w:szCs w:val="28"/>
        </w:rPr>
      </w:pPr>
      <w:r w:rsidRPr="008F521B">
        <w:rPr>
          <w:b/>
          <w:bCs/>
          <w:color w:val="000000"/>
          <w:sz w:val="28"/>
          <w:szCs w:val="28"/>
        </w:rPr>
        <w:t>1. Оценка макроэкономических условий исполнения бюджета городского округа Котельники Московской области за 201</w:t>
      </w:r>
      <w:r w:rsidR="00F515DB">
        <w:rPr>
          <w:b/>
          <w:bCs/>
          <w:color w:val="000000"/>
          <w:sz w:val="28"/>
          <w:szCs w:val="28"/>
        </w:rPr>
        <w:t>3</w:t>
      </w:r>
      <w:r w:rsidRPr="008F521B">
        <w:rPr>
          <w:b/>
          <w:bCs/>
          <w:color w:val="000000"/>
          <w:sz w:val="28"/>
          <w:szCs w:val="28"/>
        </w:rPr>
        <w:t xml:space="preserve"> год.</w:t>
      </w:r>
    </w:p>
    <w:p w:rsidR="008F521B" w:rsidRDefault="008F521B" w:rsidP="008F521B">
      <w:pPr>
        <w:spacing w:after="100" w:afterAutospacing="1"/>
        <w:ind w:firstLine="709"/>
        <w:jc w:val="both"/>
        <w:rPr>
          <w:color w:val="000000"/>
          <w:sz w:val="28"/>
          <w:szCs w:val="28"/>
        </w:rPr>
      </w:pPr>
      <w:r w:rsidRPr="008F521B">
        <w:rPr>
          <w:color w:val="000000"/>
          <w:sz w:val="28"/>
          <w:szCs w:val="28"/>
        </w:rPr>
        <w:t xml:space="preserve">По итогам 2013 года отмечается положительный рост экономики. Наблюдается рост </w:t>
      </w:r>
      <w:r w:rsidR="000563CB">
        <w:rPr>
          <w:color w:val="000000"/>
          <w:sz w:val="28"/>
          <w:szCs w:val="28"/>
        </w:rPr>
        <w:t xml:space="preserve">отгруженных товаров собственного производства и розничного товарооборота, </w:t>
      </w:r>
      <w:r w:rsidRPr="008F521B">
        <w:rPr>
          <w:color w:val="000000"/>
          <w:sz w:val="28"/>
          <w:szCs w:val="28"/>
        </w:rPr>
        <w:t xml:space="preserve">стабилизация финансовых результатов </w:t>
      </w:r>
      <w:r w:rsidRPr="008F521B">
        <w:rPr>
          <w:color w:val="000000"/>
          <w:sz w:val="28"/>
          <w:szCs w:val="28"/>
        </w:rPr>
        <w:lastRenderedPageBreak/>
        <w:t>деятельности хозяйствующих субъектов, рост среднемесячной заработной платы работников и численности работников, занятых в экономике города.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701"/>
        <w:gridCol w:w="1701"/>
        <w:gridCol w:w="1417"/>
        <w:gridCol w:w="2552"/>
      </w:tblGrid>
      <w:tr w:rsidR="008F521B" w:rsidTr="00B61837">
        <w:trPr>
          <w:trHeight w:val="7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521B" w:rsidRPr="00F515DB" w:rsidRDefault="008F521B" w:rsidP="008F521B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F515DB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521B" w:rsidRPr="00F515DB" w:rsidRDefault="008F521B" w:rsidP="008F521B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F515D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521B" w:rsidRPr="00F515DB" w:rsidRDefault="008F521B" w:rsidP="00F515DB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F515DB">
              <w:rPr>
                <w:color w:val="000000"/>
                <w:sz w:val="22"/>
                <w:szCs w:val="22"/>
              </w:rPr>
              <w:t xml:space="preserve">2013 год </w:t>
            </w:r>
            <w:r w:rsidR="00F515DB" w:rsidRPr="00F515DB">
              <w:rPr>
                <w:color w:val="000000"/>
                <w:sz w:val="22"/>
                <w:szCs w:val="22"/>
              </w:rPr>
              <w:t>(</w:t>
            </w:r>
            <w:r w:rsidRPr="00F515DB">
              <w:rPr>
                <w:color w:val="000000"/>
                <w:sz w:val="22"/>
                <w:szCs w:val="22"/>
              </w:rPr>
              <w:t>факт</w:t>
            </w:r>
            <w:r w:rsidR="00F515DB" w:rsidRPr="00F515D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521B" w:rsidRPr="00F515DB" w:rsidRDefault="00F515DB" w:rsidP="00B01F62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F515DB">
              <w:rPr>
                <w:color w:val="000000"/>
                <w:sz w:val="22"/>
                <w:szCs w:val="22"/>
              </w:rPr>
              <w:t>Т</w:t>
            </w:r>
            <w:r w:rsidR="008F521B" w:rsidRPr="00F515DB">
              <w:rPr>
                <w:color w:val="000000"/>
                <w:sz w:val="22"/>
                <w:szCs w:val="22"/>
              </w:rPr>
              <w:t xml:space="preserve">емп роста в % к </w:t>
            </w:r>
            <w:r w:rsidR="00B01F62">
              <w:rPr>
                <w:color w:val="000000"/>
                <w:sz w:val="22"/>
                <w:szCs w:val="22"/>
              </w:rPr>
              <w:t>2012</w:t>
            </w:r>
            <w:r w:rsidR="008F521B" w:rsidRPr="00F515DB">
              <w:rPr>
                <w:color w:val="000000"/>
                <w:sz w:val="22"/>
                <w:szCs w:val="22"/>
              </w:rPr>
              <w:t xml:space="preserve"> год</w:t>
            </w:r>
            <w:r w:rsidR="00B01F62">
              <w:rPr>
                <w:color w:val="000000"/>
                <w:sz w:val="22"/>
                <w:szCs w:val="22"/>
              </w:rPr>
              <w:t>у</w:t>
            </w:r>
          </w:p>
        </w:tc>
      </w:tr>
      <w:tr w:rsidR="008F521B" w:rsidTr="008F521B">
        <w:trPr>
          <w:trHeight w:val="11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1B" w:rsidRPr="00F515DB" w:rsidRDefault="008F521B">
            <w:pPr>
              <w:jc w:val="both"/>
              <w:rPr>
                <w:color w:val="000000"/>
                <w:sz w:val="22"/>
                <w:szCs w:val="22"/>
              </w:rPr>
            </w:pPr>
            <w:r w:rsidRPr="00F515DB">
              <w:rPr>
                <w:color w:val="000000"/>
                <w:sz w:val="22"/>
                <w:szCs w:val="22"/>
              </w:rPr>
              <w:t>Отгружено товаров собственного производства по всем вилам экономической деятельности (по полному кругу организаций производителей)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color w:val="000000"/>
                <w:sz w:val="22"/>
                <w:szCs w:val="22"/>
              </w:rPr>
            </w:pPr>
            <w:r w:rsidRPr="00F515DB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sz w:val="22"/>
                <w:szCs w:val="22"/>
              </w:rPr>
            </w:pPr>
            <w:r w:rsidRPr="00F515DB">
              <w:rPr>
                <w:sz w:val="22"/>
                <w:szCs w:val="22"/>
              </w:rPr>
              <w:t>33 945,0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sz w:val="22"/>
                <w:szCs w:val="22"/>
              </w:rPr>
            </w:pPr>
            <w:r w:rsidRPr="00F515DB">
              <w:rPr>
                <w:sz w:val="22"/>
                <w:szCs w:val="22"/>
              </w:rPr>
              <w:t>106,2</w:t>
            </w:r>
          </w:p>
        </w:tc>
      </w:tr>
      <w:tr w:rsidR="008F521B" w:rsidTr="008F521B">
        <w:trPr>
          <w:trHeight w:val="1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1B" w:rsidRPr="00F515DB" w:rsidRDefault="008F521B">
            <w:pPr>
              <w:jc w:val="both"/>
              <w:rPr>
                <w:color w:val="000000"/>
                <w:sz w:val="22"/>
                <w:szCs w:val="22"/>
              </w:rPr>
            </w:pPr>
            <w:r w:rsidRPr="00F515D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sz w:val="22"/>
                <w:szCs w:val="22"/>
              </w:rPr>
            </w:pPr>
          </w:p>
        </w:tc>
      </w:tr>
      <w:tr w:rsidR="008F521B" w:rsidTr="008F521B">
        <w:trPr>
          <w:trHeight w:val="7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1B" w:rsidRPr="00F515DB" w:rsidRDefault="008F521B">
            <w:pPr>
              <w:jc w:val="both"/>
              <w:rPr>
                <w:color w:val="000000"/>
                <w:sz w:val="22"/>
                <w:szCs w:val="22"/>
              </w:rPr>
            </w:pPr>
            <w:r w:rsidRPr="00F515DB">
              <w:rPr>
                <w:color w:val="000000"/>
                <w:sz w:val="22"/>
                <w:szCs w:val="22"/>
              </w:rPr>
              <w:t xml:space="preserve"> - отгружено товаров собственного производства по промышленным видам деятельности (по полному кругу организаций производителей)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color w:val="000000"/>
                <w:sz w:val="22"/>
                <w:szCs w:val="22"/>
              </w:rPr>
            </w:pPr>
            <w:r w:rsidRPr="00F515DB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sz w:val="22"/>
                <w:szCs w:val="22"/>
              </w:rPr>
            </w:pPr>
            <w:r w:rsidRPr="00F515DB">
              <w:rPr>
                <w:sz w:val="22"/>
                <w:szCs w:val="22"/>
              </w:rPr>
              <w:t>11 385,0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sz w:val="22"/>
                <w:szCs w:val="22"/>
              </w:rPr>
            </w:pPr>
            <w:r w:rsidRPr="00F515DB">
              <w:rPr>
                <w:sz w:val="22"/>
                <w:szCs w:val="22"/>
              </w:rPr>
              <w:t>99,0</w:t>
            </w:r>
          </w:p>
        </w:tc>
      </w:tr>
      <w:tr w:rsidR="008F521B" w:rsidTr="008F521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1B" w:rsidRPr="00F515DB" w:rsidRDefault="008F521B" w:rsidP="008F521B">
            <w:pPr>
              <w:rPr>
                <w:color w:val="000000"/>
                <w:sz w:val="22"/>
                <w:szCs w:val="22"/>
              </w:rPr>
            </w:pPr>
            <w:r w:rsidRPr="00F515DB">
              <w:rPr>
                <w:color w:val="000000"/>
                <w:sz w:val="22"/>
                <w:szCs w:val="22"/>
              </w:rPr>
              <w:t>Розничный товарооборот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color w:val="000000"/>
                <w:sz w:val="22"/>
                <w:szCs w:val="22"/>
              </w:rPr>
            </w:pPr>
            <w:r w:rsidRPr="00F515DB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sz w:val="22"/>
                <w:szCs w:val="22"/>
              </w:rPr>
            </w:pPr>
            <w:r w:rsidRPr="00F515DB">
              <w:rPr>
                <w:sz w:val="22"/>
                <w:szCs w:val="22"/>
              </w:rPr>
              <w:t>57 932,0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sz w:val="22"/>
                <w:szCs w:val="22"/>
              </w:rPr>
            </w:pPr>
            <w:r w:rsidRPr="00F515DB">
              <w:rPr>
                <w:sz w:val="22"/>
                <w:szCs w:val="22"/>
              </w:rPr>
              <w:t>112,9</w:t>
            </w:r>
          </w:p>
        </w:tc>
      </w:tr>
      <w:tr w:rsidR="008F521B" w:rsidTr="008F521B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1B" w:rsidRPr="00F515DB" w:rsidRDefault="008F521B">
            <w:pPr>
              <w:jc w:val="both"/>
              <w:rPr>
                <w:color w:val="000000"/>
                <w:sz w:val="22"/>
                <w:szCs w:val="22"/>
              </w:rPr>
            </w:pPr>
            <w:r w:rsidRPr="00F515DB">
              <w:rPr>
                <w:color w:val="000000"/>
                <w:sz w:val="22"/>
                <w:szCs w:val="22"/>
              </w:rPr>
              <w:t>Объем инвестиций в основной капитал</w:t>
            </w:r>
            <w:proofErr w:type="gramStart"/>
            <w:r w:rsidRPr="00F515D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F515DB">
              <w:rPr>
                <w:color w:val="000000"/>
                <w:sz w:val="22"/>
                <w:szCs w:val="22"/>
              </w:rPr>
              <w:t xml:space="preserve"> освоенных крупными и средними организациями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color w:val="000000"/>
                <w:sz w:val="22"/>
                <w:szCs w:val="22"/>
              </w:rPr>
            </w:pPr>
            <w:r w:rsidRPr="00F515DB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sz w:val="22"/>
                <w:szCs w:val="22"/>
              </w:rPr>
            </w:pPr>
            <w:r w:rsidRPr="00F515DB">
              <w:rPr>
                <w:sz w:val="22"/>
                <w:szCs w:val="22"/>
              </w:rPr>
              <w:t>4 208,6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sz w:val="22"/>
                <w:szCs w:val="22"/>
              </w:rPr>
            </w:pPr>
            <w:r w:rsidRPr="00F515DB">
              <w:rPr>
                <w:sz w:val="22"/>
                <w:szCs w:val="22"/>
              </w:rPr>
              <w:t>143,0</w:t>
            </w:r>
          </w:p>
        </w:tc>
      </w:tr>
      <w:tr w:rsidR="008F521B" w:rsidTr="008F521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1B" w:rsidRPr="00F515DB" w:rsidRDefault="008F521B">
            <w:pPr>
              <w:jc w:val="both"/>
              <w:rPr>
                <w:color w:val="000000"/>
                <w:sz w:val="22"/>
                <w:szCs w:val="22"/>
              </w:rPr>
            </w:pPr>
            <w:r w:rsidRPr="00F515DB">
              <w:rPr>
                <w:color w:val="000000"/>
                <w:sz w:val="22"/>
                <w:szCs w:val="22"/>
              </w:rPr>
              <w:t>Ввод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color w:val="000000"/>
                <w:sz w:val="22"/>
                <w:szCs w:val="22"/>
              </w:rPr>
            </w:pPr>
            <w:r w:rsidRPr="00F515DB">
              <w:rPr>
                <w:color w:val="000000"/>
                <w:sz w:val="22"/>
                <w:szCs w:val="22"/>
              </w:rPr>
              <w:t>тыс. кв. 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sz w:val="22"/>
                <w:szCs w:val="22"/>
              </w:rPr>
            </w:pPr>
            <w:r w:rsidRPr="00F515DB">
              <w:rPr>
                <w:sz w:val="22"/>
                <w:szCs w:val="22"/>
              </w:rPr>
              <w:t>40,0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sz w:val="22"/>
                <w:szCs w:val="22"/>
              </w:rPr>
            </w:pPr>
            <w:r w:rsidRPr="00F515DB">
              <w:rPr>
                <w:sz w:val="22"/>
                <w:szCs w:val="22"/>
              </w:rPr>
              <w:t>32,3</w:t>
            </w:r>
          </w:p>
        </w:tc>
      </w:tr>
      <w:tr w:rsidR="008F521B" w:rsidTr="008F521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1B" w:rsidRPr="00F515DB" w:rsidRDefault="008F521B">
            <w:pPr>
              <w:jc w:val="both"/>
              <w:rPr>
                <w:color w:val="000000"/>
                <w:sz w:val="22"/>
                <w:szCs w:val="22"/>
              </w:rPr>
            </w:pPr>
            <w:r w:rsidRPr="00F515DB">
              <w:rPr>
                <w:color w:val="000000"/>
                <w:sz w:val="22"/>
                <w:szCs w:val="22"/>
              </w:rPr>
              <w:t xml:space="preserve">Прибыль по крупным и средним организациям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color w:val="000000"/>
                <w:sz w:val="22"/>
                <w:szCs w:val="22"/>
              </w:rPr>
            </w:pPr>
            <w:r w:rsidRPr="00F515DB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sz w:val="22"/>
                <w:szCs w:val="22"/>
              </w:rPr>
            </w:pPr>
            <w:r w:rsidRPr="00F515DB">
              <w:rPr>
                <w:sz w:val="22"/>
                <w:szCs w:val="22"/>
              </w:rPr>
              <w:t>6 802,6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sz w:val="22"/>
                <w:szCs w:val="22"/>
              </w:rPr>
            </w:pPr>
            <w:r w:rsidRPr="00F515DB">
              <w:rPr>
                <w:sz w:val="22"/>
                <w:szCs w:val="22"/>
              </w:rPr>
              <w:t>105,2</w:t>
            </w:r>
          </w:p>
        </w:tc>
      </w:tr>
      <w:tr w:rsidR="008F521B" w:rsidTr="008F521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1B" w:rsidRPr="00F515DB" w:rsidRDefault="008F521B">
            <w:pPr>
              <w:jc w:val="both"/>
              <w:rPr>
                <w:color w:val="000000"/>
                <w:sz w:val="22"/>
                <w:szCs w:val="22"/>
              </w:rPr>
            </w:pPr>
            <w:r w:rsidRPr="00F515DB">
              <w:rPr>
                <w:color w:val="000000"/>
                <w:sz w:val="22"/>
                <w:szCs w:val="22"/>
              </w:rPr>
              <w:t xml:space="preserve">Фонд заработной платы по полному кругу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color w:val="000000"/>
                <w:sz w:val="22"/>
                <w:szCs w:val="22"/>
              </w:rPr>
            </w:pPr>
            <w:r w:rsidRPr="00F515DB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sz w:val="22"/>
                <w:szCs w:val="22"/>
              </w:rPr>
            </w:pPr>
            <w:r w:rsidRPr="00F515DB">
              <w:rPr>
                <w:sz w:val="22"/>
                <w:szCs w:val="22"/>
              </w:rPr>
              <w:t>8 385,0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sz w:val="22"/>
                <w:szCs w:val="22"/>
              </w:rPr>
            </w:pPr>
            <w:r w:rsidRPr="00F515DB">
              <w:rPr>
                <w:sz w:val="22"/>
                <w:szCs w:val="22"/>
              </w:rPr>
              <w:t>125,7</w:t>
            </w:r>
          </w:p>
        </w:tc>
      </w:tr>
      <w:tr w:rsidR="008F521B" w:rsidTr="008F521B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1B" w:rsidRPr="00F515DB" w:rsidRDefault="008F521B">
            <w:pPr>
              <w:jc w:val="both"/>
              <w:rPr>
                <w:color w:val="000000"/>
                <w:sz w:val="22"/>
                <w:szCs w:val="22"/>
              </w:rPr>
            </w:pPr>
            <w:r w:rsidRPr="00F515DB">
              <w:rPr>
                <w:color w:val="000000"/>
                <w:sz w:val="22"/>
                <w:szCs w:val="22"/>
              </w:rPr>
              <w:t>Номинальная начисленная среднемесячная заработная плата одного работника по полному кругу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color w:val="000000"/>
                <w:sz w:val="22"/>
                <w:szCs w:val="22"/>
              </w:rPr>
            </w:pPr>
            <w:r w:rsidRPr="00F515D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sz w:val="22"/>
                <w:szCs w:val="22"/>
              </w:rPr>
            </w:pPr>
            <w:r w:rsidRPr="00F515DB">
              <w:rPr>
                <w:sz w:val="22"/>
                <w:szCs w:val="22"/>
              </w:rPr>
              <w:t>40 563,0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sz w:val="22"/>
                <w:szCs w:val="22"/>
              </w:rPr>
            </w:pPr>
            <w:r w:rsidRPr="00F515DB">
              <w:rPr>
                <w:sz w:val="22"/>
                <w:szCs w:val="22"/>
              </w:rPr>
              <w:t>105,6</w:t>
            </w:r>
          </w:p>
        </w:tc>
      </w:tr>
      <w:tr w:rsidR="008F521B" w:rsidTr="008F521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1B" w:rsidRPr="00F515DB" w:rsidRDefault="008F521B">
            <w:pPr>
              <w:jc w:val="both"/>
              <w:rPr>
                <w:color w:val="000000"/>
                <w:sz w:val="22"/>
                <w:szCs w:val="22"/>
              </w:rPr>
            </w:pPr>
            <w:r w:rsidRPr="00F515DB">
              <w:rPr>
                <w:color w:val="000000"/>
                <w:sz w:val="22"/>
                <w:szCs w:val="22"/>
              </w:rPr>
              <w:t>Среднесписочная численность работников по полному кругу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color w:val="000000"/>
                <w:sz w:val="22"/>
                <w:szCs w:val="22"/>
              </w:rPr>
            </w:pPr>
            <w:r w:rsidRPr="00F515DB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color w:val="000000"/>
                <w:sz w:val="22"/>
                <w:szCs w:val="22"/>
              </w:rPr>
            </w:pPr>
            <w:r w:rsidRPr="00F515DB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sz w:val="22"/>
                <w:szCs w:val="22"/>
              </w:rPr>
            </w:pPr>
            <w:r w:rsidRPr="00F515DB">
              <w:rPr>
                <w:sz w:val="22"/>
                <w:szCs w:val="22"/>
              </w:rPr>
              <w:t>115,6</w:t>
            </w:r>
          </w:p>
        </w:tc>
      </w:tr>
      <w:tr w:rsidR="008F521B" w:rsidTr="008F521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1B" w:rsidRPr="00F515DB" w:rsidRDefault="008F521B">
            <w:pPr>
              <w:jc w:val="both"/>
              <w:rPr>
                <w:color w:val="000000"/>
                <w:sz w:val="22"/>
                <w:szCs w:val="22"/>
              </w:rPr>
            </w:pPr>
            <w:r w:rsidRPr="00F515DB">
              <w:rPr>
                <w:color w:val="000000"/>
                <w:sz w:val="22"/>
                <w:szCs w:val="22"/>
              </w:rPr>
              <w:t>Численность постоянного населения на конец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color w:val="000000"/>
                <w:sz w:val="22"/>
                <w:szCs w:val="22"/>
              </w:rPr>
            </w:pPr>
            <w:r w:rsidRPr="00F515D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sz w:val="22"/>
                <w:szCs w:val="22"/>
              </w:rPr>
            </w:pPr>
            <w:r w:rsidRPr="00F515DB">
              <w:rPr>
                <w:sz w:val="22"/>
                <w:szCs w:val="22"/>
              </w:rPr>
              <w:t>39 433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sz w:val="22"/>
                <w:szCs w:val="22"/>
              </w:rPr>
            </w:pPr>
            <w:r w:rsidRPr="00F515DB">
              <w:rPr>
                <w:sz w:val="22"/>
                <w:szCs w:val="22"/>
              </w:rPr>
              <w:t>106,6</w:t>
            </w:r>
          </w:p>
        </w:tc>
      </w:tr>
      <w:tr w:rsidR="008F521B" w:rsidTr="008F521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1B" w:rsidRPr="00F515DB" w:rsidRDefault="008F521B">
            <w:pPr>
              <w:jc w:val="both"/>
              <w:rPr>
                <w:color w:val="000000"/>
                <w:sz w:val="22"/>
                <w:szCs w:val="22"/>
              </w:rPr>
            </w:pPr>
            <w:r w:rsidRPr="00F515DB">
              <w:rPr>
                <w:color w:val="000000"/>
                <w:sz w:val="22"/>
                <w:szCs w:val="22"/>
              </w:rPr>
              <w:t>Численность официально зарегистрированных безработных на конец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color w:val="000000"/>
                <w:sz w:val="22"/>
                <w:szCs w:val="22"/>
              </w:rPr>
            </w:pPr>
            <w:r w:rsidRPr="00F515D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sz w:val="22"/>
                <w:szCs w:val="22"/>
              </w:rPr>
            </w:pPr>
            <w:r w:rsidRPr="00F515DB">
              <w:rPr>
                <w:sz w:val="22"/>
                <w:szCs w:val="22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1B" w:rsidRPr="00F515DB" w:rsidRDefault="008F521B" w:rsidP="008F521B">
            <w:pPr>
              <w:jc w:val="center"/>
              <w:rPr>
                <w:sz w:val="22"/>
                <w:szCs w:val="22"/>
              </w:rPr>
            </w:pPr>
            <w:r w:rsidRPr="00F515DB">
              <w:rPr>
                <w:sz w:val="22"/>
                <w:szCs w:val="22"/>
              </w:rPr>
              <w:t>135,0</w:t>
            </w:r>
          </w:p>
        </w:tc>
      </w:tr>
    </w:tbl>
    <w:p w:rsidR="00EF4FFC" w:rsidRPr="00F515DB" w:rsidRDefault="00EF4FFC" w:rsidP="008F521B">
      <w:pPr>
        <w:spacing w:before="120"/>
        <w:ind w:firstLine="709"/>
        <w:jc w:val="both"/>
        <w:rPr>
          <w:b/>
          <w:color w:val="000000"/>
          <w:sz w:val="28"/>
          <w:szCs w:val="28"/>
        </w:rPr>
      </w:pPr>
      <w:r w:rsidRPr="00F515DB">
        <w:rPr>
          <w:b/>
          <w:color w:val="000000"/>
          <w:sz w:val="28"/>
          <w:szCs w:val="28"/>
        </w:rPr>
        <w:t>Макроэкономические показатели</w:t>
      </w:r>
    </w:p>
    <w:p w:rsidR="005D0966" w:rsidRPr="005D0966" w:rsidRDefault="005D0966" w:rsidP="005D0966">
      <w:pPr>
        <w:ind w:firstLine="709"/>
        <w:jc w:val="both"/>
        <w:rPr>
          <w:color w:val="000000"/>
          <w:sz w:val="28"/>
          <w:szCs w:val="28"/>
        </w:rPr>
      </w:pPr>
      <w:r w:rsidRPr="005D0966">
        <w:rPr>
          <w:color w:val="000000"/>
          <w:sz w:val="28"/>
          <w:szCs w:val="28"/>
        </w:rPr>
        <w:t xml:space="preserve">Объем отгруженных товаров собственного производства, по всем видам экономической деятельности, по полному кругу предприятий городского округа Котельники за 2013 год вырос по сравнению с </w:t>
      </w:r>
      <w:r w:rsidR="00B01F62">
        <w:rPr>
          <w:color w:val="000000"/>
          <w:sz w:val="28"/>
          <w:szCs w:val="28"/>
        </w:rPr>
        <w:t>2012</w:t>
      </w:r>
      <w:r w:rsidRPr="005D0966">
        <w:rPr>
          <w:color w:val="000000"/>
          <w:sz w:val="28"/>
          <w:szCs w:val="28"/>
        </w:rPr>
        <w:t xml:space="preserve"> год</w:t>
      </w:r>
      <w:r w:rsidR="00B01F62">
        <w:rPr>
          <w:color w:val="000000"/>
          <w:sz w:val="28"/>
          <w:szCs w:val="28"/>
        </w:rPr>
        <w:t>ом</w:t>
      </w:r>
      <w:r w:rsidRPr="005D0966">
        <w:rPr>
          <w:color w:val="000000"/>
          <w:sz w:val="28"/>
          <w:szCs w:val="28"/>
        </w:rPr>
        <w:t xml:space="preserve"> на 6,2 % и составил 33,9  млрд. руб.</w:t>
      </w:r>
    </w:p>
    <w:p w:rsidR="005D0966" w:rsidRPr="005D0966" w:rsidRDefault="005D0966" w:rsidP="005D0966">
      <w:pPr>
        <w:ind w:firstLine="709"/>
        <w:jc w:val="both"/>
        <w:rPr>
          <w:color w:val="000000"/>
          <w:sz w:val="28"/>
          <w:szCs w:val="28"/>
        </w:rPr>
      </w:pPr>
      <w:r w:rsidRPr="005D0966">
        <w:rPr>
          <w:color w:val="000000"/>
          <w:sz w:val="28"/>
          <w:szCs w:val="28"/>
        </w:rPr>
        <w:t>Объем отгруженных товаров собственного производства, промышленного сектора экономики,  по полному кругу предприятий за 2013 год составил 11,4 млрд. руб. и сохранился на уровне 2012 года.</w:t>
      </w:r>
    </w:p>
    <w:p w:rsidR="005D0966" w:rsidRPr="005D0966" w:rsidRDefault="005D0966" w:rsidP="005D0966">
      <w:pPr>
        <w:ind w:firstLine="709"/>
        <w:jc w:val="both"/>
        <w:rPr>
          <w:sz w:val="28"/>
          <w:szCs w:val="28"/>
          <w:lang w:eastAsia="en-US"/>
        </w:rPr>
      </w:pPr>
      <w:r w:rsidRPr="005D0966">
        <w:rPr>
          <w:color w:val="000000"/>
          <w:sz w:val="28"/>
          <w:szCs w:val="28"/>
        </w:rPr>
        <w:t xml:space="preserve">Наибольшую долю в объемах отгрузки товаров собственного производства занимает продукция предприятий перерабатывающего производства, таких как </w:t>
      </w:r>
      <w:r w:rsidRPr="005D0966">
        <w:rPr>
          <w:sz w:val="28"/>
          <w:szCs w:val="28"/>
          <w:lang w:eastAsia="en-US"/>
        </w:rPr>
        <w:t xml:space="preserve">ЗАО “Белая Дача </w:t>
      </w:r>
      <w:proofErr w:type="spellStart"/>
      <w:r w:rsidRPr="005D0966">
        <w:rPr>
          <w:sz w:val="28"/>
          <w:szCs w:val="28"/>
          <w:lang w:eastAsia="en-US"/>
        </w:rPr>
        <w:t>Трейдинг</w:t>
      </w:r>
      <w:proofErr w:type="spellEnd"/>
      <w:r w:rsidRPr="005D0966">
        <w:rPr>
          <w:sz w:val="28"/>
          <w:szCs w:val="28"/>
          <w:lang w:eastAsia="en-US"/>
        </w:rPr>
        <w:t>», ООО «</w:t>
      </w:r>
      <w:proofErr w:type="spellStart"/>
      <w:r w:rsidRPr="005D0966">
        <w:rPr>
          <w:sz w:val="28"/>
          <w:szCs w:val="28"/>
          <w:lang w:eastAsia="en-US"/>
        </w:rPr>
        <w:t>Нидан</w:t>
      </w:r>
      <w:proofErr w:type="spellEnd"/>
      <w:r w:rsidRPr="005D0966">
        <w:rPr>
          <w:sz w:val="28"/>
          <w:szCs w:val="28"/>
          <w:lang w:eastAsia="en-US"/>
        </w:rPr>
        <w:t>-Гросс», ОАО «</w:t>
      </w:r>
      <w:proofErr w:type="spellStart"/>
      <w:r w:rsidRPr="005D0966">
        <w:rPr>
          <w:sz w:val="28"/>
          <w:szCs w:val="28"/>
          <w:lang w:eastAsia="en-US"/>
        </w:rPr>
        <w:t>Нидан</w:t>
      </w:r>
      <w:proofErr w:type="spellEnd"/>
      <w:r w:rsidRPr="005D0966">
        <w:rPr>
          <w:sz w:val="28"/>
          <w:szCs w:val="28"/>
          <w:lang w:eastAsia="en-US"/>
        </w:rPr>
        <w:t xml:space="preserve"> соки».</w:t>
      </w:r>
    </w:p>
    <w:p w:rsidR="005D0966" w:rsidRPr="005D0966" w:rsidRDefault="00EF4FFC" w:rsidP="005D0966">
      <w:pPr>
        <w:ind w:firstLine="709"/>
        <w:jc w:val="both"/>
        <w:rPr>
          <w:color w:val="000000"/>
          <w:sz w:val="28"/>
          <w:szCs w:val="28"/>
        </w:rPr>
      </w:pPr>
      <w:r w:rsidRPr="005D0966">
        <w:rPr>
          <w:b/>
          <w:bCs/>
          <w:i/>
          <w:iCs/>
          <w:color w:val="000000"/>
          <w:sz w:val="28"/>
          <w:szCs w:val="28"/>
        </w:rPr>
        <w:lastRenderedPageBreak/>
        <w:t>Объем прибыли прибыльных  организаций</w:t>
      </w:r>
      <w:r w:rsidRPr="005D0966">
        <w:rPr>
          <w:color w:val="000000"/>
          <w:sz w:val="28"/>
          <w:szCs w:val="28"/>
        </w:rPr>
        <w:t xml:space="preserve">, </w:t>
      </w:r>
      <w:r w:rsidR="005D0966" w:rsidRPr="005D0966">
        <w:rPr>
          <w:color w:val="000000"/>
          <w:sz w:val="28"/>
          <w:szCs w:val="28"/>
        </w:rPr>
        <w:t xml:space="preserve">полученный крупными и средними организациями </w:t>
      </w:r>
      <w:r w:rsidR="00AA3550">
        <w:rPr>
          <w:color w:val="000000"/>
          <w:sz w:val="28"/>
          <w:szCs w:val="28"/>
        </w:rPr>
        <w:t>городского округа</w:t>
      </w:r>
      <w:r w:rsidR="005D0966" w:rsidRPr="005D0966">
        <w:rPr>
          <w:color w:val="000000"/>
          <w:sz w:val="28"/>
          <w:szCs w:val="28"/>
        </w:rPr>
        <w:t xml:space="preserve"> Котельники, по итогам 2013 года увеличился по сравнению с </w:t>
      </w:r>
      <w:r w:rsidR="00AA3550">
        <w:rPr>
          <w:color w:val="000000"/>
          <w:sz w:val="28"/>
          <w:szCs w:val="28"/>
        </w:rPr>
        <w:t>2012</w:t>
      </w:r>
      <w:r w:rsidR="005D0966" w:rsidRPr="005D0966">
        <w:rPr>
          <w:color w:val="000000"/>
          <w:sz w:val="28"/>
          <w:szCs w:val="28"/>
        </w:rPr>
        <w:t xml:space="preserve"> </w:t>
      </w:r>
      <w:r w:rsidR="00AA3550">
        <w:rPr>
          <w:color w:val="000000"/>
          <w:sz w:val="28"/>
          <w:szCs w:val="28"/>
        </w:rPr>
        <w:t>годом</w:t>
      </w:r>
      <w:r w:rsidR="005D0966" w:rsidRPr="005D0966">
        <w:rPr>
          <w:color w:val="000000"/>
          <w:sz w:val="28"/>
          <w:szCs w:val="28"/>
        </w:rPr>
        <w:t xml:space="preserve"> на 5,2% и составил 6,8 млрд. руб.</w:t>
      </w:r>
    </w:p>
    <w:p w:rsidR="005D0966" w:rsidRDefault="005D0966" w:rsidP="005D0966">
      <w:pPr>
        <w:ind w:firstLine="709"/>
        <w:jc w:val="both"/>
        <w:rPr>
          <w:color w:val="000000"/>
          <w:sz w:val="28"/>
          <w:szCs w:val="28"/>
        </w:rPr>
      </w:pPr>
      <w:r w:rsidRPr="005D0966">
        <w:rPr>
          <w:color w:val="000000"/>
          <w:sz w:val="28"/>
          <w:szCs w:val="28"/>
        </w:rPr>
        <w:t xml:space="preserve">Основную долю от общего объема прибыли крупных и средних организаций </w:t>
      </w:r>
      <w:r w:rsidR="00AA3550">
        <w:rPr>
          <w:color w:val="000000"/>
          <w:sz w:val="28"/>
          <w:szCs w:val="28"/>
        </w:rPr>
        <w:t>городского округа</w:t>
      </w:r>
      <w:r w:rsidRPr="005D0966">
        <w:rPr>
          <w:color w:val="000000"/>
          <w:sz w:val="28"/>
          <w:szCs w:val="28"/>
        </w:rPr>
        <w:t xml:space="preserve"> Котельники (59%) обеспечивают организации, занимающиеся сдачей в аренду не жилых помещений.</w:t>
      </w:r>
    </w:p>
    <w:p w:rsidR="005D0966" w:rsidRPr="005D0966" w:rsidRDefault="005D0966" w:rsidP="005D0966">
      <w:pPr>
        <w:ind w:firstLine="709"/>
        <w:jc w:val="both"/>
        <w:rPr>
          <w:color w:val="000000"/>
          <w:sz w:val="28"/>
          <w:szCs w:val="28"/>
        </w:rPr>
      </w:pPr>
      <w:r w:rsidRPr="005D0966">
        <w:rPr>
          <w:b/>
          <w:bCs/>
          <w:i/>
          <w:iCs/>
          <w:color w:val="000000"/>
          <w:sz w:val="28"/>
          <w:szCs w:val="28"/>
        </w:rPr>
        <w:t>Объем инвестиций в основной капитал,</w:t>
      </w:r>
      <w:r w:rsidRPr="005D0966">
        <w:rPr>
          <w:bCs/>
          <w:iCs/>
          <w:color w:val="000000"/>
          <w:sz w:val="28"/>
          <w:szCs w:val="28"/>
        </w:rPr>
        <w:t xml:space="preserve"> </w:t>
      </w:r>
      <w:r w:rsidRPr="005D0966">
        <w:rPr>
          <w:color w:val="000000"/>
          <w:sz w:val="28"/>
          <w:szCs w:val="28"/>
        </w:rPr>
        <w:t xml:space="preserve">освоенных крупными и средними организациями </w:t>
      </w:r>
      <w:r w:rsidR="00AA3550">
        <w:rPr>
          <w:color w:val="000000"/>
          <w:sz w:val="28"/>
          <w:szCs w:val="28"/>
        </w:rPr>
        <w:t>городского округа</w:t>
      </w:r>
      <w:r w:rsidRPr="005D0966">
        <w:rPr>
          <w:color w:val="000000"/>
          <w:sz w:val="28"/>
          <w:szCs w:val="28"/>
        </w:rPr>
        <w:t xml:space="preserve"> Котельники за 2013 год составил 4208,6 млн. руб. (56% от прогнозного годового объема инвестиций). </w:t>
      </w:r>
    </w:p>
    <w:p w:rsidR="005D0966" w:rsidRPr="005D0966" w:rsidRDefault="005D0966" w:rsidP="005D0966">
      <w:pPr>
        <w:ind w:firstLine="709"/>
        <w:jc w:val="both"/>
        <w:rPr>
          <w:color w:val="000000"/>
          <w:sz w:val="28"/>
          <w:szCs w:val="28"/>
        </w:rPr>
      </w:pPr>
      <w:r w:rsidRPr="005D0966">
        <w:rPr>
          <w:color w:val="000000"/>
          <w:sz w:val="28"/>
          <w:szCs w:val="28"/>
        </w:rPr>
        <w:t xml:space="preserve">Одним из показателей качества жизни населения является </w:t>
      </w:r>
      <w:r w:rsidRPr="005D0966">
        <w:rPr>
          <w:b/>
          <w:i/>
          <w:color w:val="000000"/>
          <w:sz w:val="28"/>
          <w:szCs w:val="28"/>
        </w:rPr>
        <w:t>обеспеченность жильем.</w:t>
      </w:r>
      <w:r>
        <w:rPr>
          <w:color w:val="000000"/>
          <w:sz w:val="28"/>
          <w:szCs w:val="28"/>
        </w:rPr>
        <w:t xml:space="preserve"> З</w:t>
      </w:r>
      <w:r w:rsidRPr="005D0966">
        <w:rPr>
          <w:color w:val="000000"/>
          <w:sz w:val="28"/>
          <w:szCs w:val="28"/>
        </w:rPr>
        <w:t>а 2013 год принято в эксплуатацию 40,0 тыс. кв. м. жилья.</w:t>
      </w:r>
      <w:r>
        <w:rPr>
          <w:color w:val="000000"/>
          <w:sz w:val="28"/>
          <w:szCs w:val="28"/>
        </w:rPr>
        <w:t xml:space="preserve"> </w:t>
      </w:r>
      <w:r w:rsidRPr="005D0966">
        <w:rPr>
          <w:color w:val="000000"/>
          <w:sz w:val="28"/>
          <w:szCs w:val="28"/>
        </w:rPr>
        <w:t xml:space="preserve">Средняя обеспеченность населения общей площадью жилых помещений </w:t>
      </w:r>
      <w:proofErr w:type="gramStart"/>
      <w:r w:rsidRPr="005D0966">
        <w:rPr>
          <w:color w:val="000000"/>
          <w:sz w:val="28"/>
          <w:szCs w:val="28"/>
        </w:rPr>
        <w:t>на конец</w:t>
      </w:r>
      <w:proofErr w:type="gramEnd"/>
      <w:r w:rsidRPr="005D0966">
        <w:rPr>
          <w:color w:val="000000"/>
          <w:sz w:val="28"/>
          <w:szCs w:val="28"/>
        </w:rPr>
        <w:t xml:space="preserve"> 2013 года составила 26,09 кв.</w:t>
      </w:r>
      <w:r>
        <w:rPr>
          <w:color w:val="000000"/>
          <w:sz w:val="28"/>
          <w:szCs w:val="28"/>
        </w:rPr>
        <w:t xml:space="preserve"> </w:t>
      </w:r>
      <w:r w:rsidRPr="005D0966">
        <w:rPr>
          <w:color w:val="000000"/>
          <w:sz w:val="28"/>
          <w:szCs w:val="28"/>
        </w:rPr>
        <w:t xml:space="preserve">м. на человека.   </w:t>
      </w:r>
    </w:p>
    <w:p w:rsidR="005D0966" w:rsidRPr="005D0966" w:rsidRDefault="005D0966" w:rsidP="005D0966">
      <w:pPr>
        <w:ind w:firstLine="709"/>
        <w:jc w:val="both"/>
        <w:rPr>
          <w:color w:val="000000"/>
          <w:sz w:val="28"/>
          <w:szCs w:val="28"/>
        </w:rPr>
      </w:pPr>
      <w:r w:rsidRPr="005D0966">
        <w:rPr>
          <w:color w:val="000000"/>
          <w:sz w:val="28"/>
          <w:szCs w:val="28"/>
        </w:rPr>
        <w:t>По итогам 2013 года размер среднемесячной заработной платы работников оценивается в 40,6 тыс. руб. и увеличилась на 5,6</w:t>
      </w:r>
      <w:r w:rsidR="00AA3550">
        <w:rPr>
          <w:color w:val="000000"/>
          <w:sz w:val="28"/>
          <w:szCs w:val="28"/>
        </w:rPr>
        <w:t>%</w:t>
      </w:r>
      <w:r w:rsidRPr="005D0966">
        <w:rPr>
          <w:color w:val="000000"/>
          <w:sz w:val="28"/>
          <w:szCs w:val="28"/>
        </w:rPr>
        <w:t xml:space="preserve"> по сравнению с уровнем 2012 года. </w:t>
      </w:r>
    </w:p>
    <w:p w:rsidR="005D0966" w:rsidRPr="005D0966" w:rsidRDefault="005D0966" w:rsidP="005D0966">
      <w:pPr>
        <w:ind w:firstLine="709"/>
        <w:jc w:val="both"/>
        <w:rPr>
          <w:color w:val="000000"/>
          <w:sz w:val="28"/>
          <w:szCs w:val="28"/>
        </w:rPr>
      </w:pPr>
      <w:r w:rsidRPr="005D0966">
        <w:rPr>
          <w:color w:val="000000"/>
          <w:sz w:val="28"/>
          <w:szCs w:val="28"/>
        </w:rPr>
        <w:t xml:space="preserve">Предприятия </w:t>
      </w:r>
      <w:r w:rsidR="00AA3550">
        <w:rPr>
          <w:color w:val="000000"/>
          <w:sz w:val="28"/>
          <w:szCs w:val="28"/>
        </w:rPr>
        <w:t>городского округа</w:t>
      </w:r>
      <w:r w:rsidRPr="005D0966">
        <w:rPr>
          <w:color w:val="000000"/>
          <w:sz w:val="28"/>
          <w:szCs w:val="28"/>
        </w:rPr>
        <w:t xml:space="preserve"> Котельники не имеют задолженности по выплате заработной платы работникам.</w:t>
      </w:r>
    </w:p>
    <w:p w:rsidR="005D0966" w:rsidRPr="005D0966" w:rsidRDefault="005D0966" w:rsidP="005D0966">
      <w:pPr>
        <w:ind w:firstLine="709"/>
        <w:jc w:val="both"/>
        <w:rPr>
          <w:color w:val="000000"/>
          <w:sz w:val="28"/>
          <w:szCs w:val="28"/>
        </w:rPr>
      </w:pPr>
      <w:r w:rsidRPr="005D0966">
        <w:rPr>
          <w:color w:val="000000"/>
          <w:sz w:val="28"/>
          <w:szCs w:val="28"/>
        </w:rPr>
        <w:t xml:space="preserve">Общий </w:t>
      </w:r>
      <w:r w:rsidRPr="005D0966">
        <w:rPr>
          <w:b/>
          <w:bCs/>
          <w:i/>
          <w:iCs/>
          <w:color w:val="000000"/>
          <w:sz w:val="28"/>
          <w:szCs w:val="28"/>
        </w:rPr>
        <w:t>объем розничного товарооборота</w:t>
      </w:r>
      <w:r w:rsidRPr="005D0966">
        <w:rPr>
          <w:bCs/>
          <w:color w:val="000000"/>
          <w:sz w:val="28"/>
          <w:szCs w:val="28"/>
        </w:rPr>
        <w:t xml:space="preserve"> </w:t>
      </w:r>
      <w:r w:rsidRPr="005D0966">
        <w:rPr>
          <w:color w:val="000000"/>
          <w:sz w:val="28"/>
          <w:szCs w:val="28"/>
        </w:rPr>
        <w:t xml:space="preserve">в </w:t>
      </w:r>
      <w:r w:rsidR="00AA3550">
        <w:rPr>
          <w:color w:val="000000"/>
          <w:sz w:val="28"/>
          <w:szCs w:val="28"/>
        </w:rPr>
        <w:t>городском округе</w:t>
      </w:r>
      <w:r w:rsidRPr="005D0966">
        <w:rPr>
          <w:color w:val="000000"/>
          <w:sz w:val="28"/>
          <w:szCs w:val="28"/>
        </w:rPr>
        <w:t xml:space="preserve"> Котельники за  2013 год составил 57,9 млрд. руб.,  увеличение относительно 2012 года на 12,9%. </w:t>
      </w:r>
    </w:p>
    <w:p w:rsidR="005D0966" w:rsidRPr="005D0966" w:rsidRDefault="005D0966" w:rsidP="005D0966">
      <w:pPr>
        <w:ind w:firstLine="709"/>
        <w:jc w:val="both"/>
        <w:rPr>
          <w:color w:val="000000"/>
          <w:sz w:val="28"/>
          <w:szCs w:val="28"/>
        </w:rPr>
      </w:pPr>
      <w:r w:rsidRPr="005D0966">
        <w:rPr>
          <w:b/>
          <w:i/>
          <w:color w:val="000000"/>
          <w:sz w:val="28"/>
          <w:szCs w:val="28"/>
        </w:rPr>
        <w:t>Численность официально зарегистрированных безработных</w:t>
      </w:r>
      <w:r w:rsidR="00F515DB">
        <w:rPr>
          <w:b/>
          <w:i/>
          <w:color w:val="000000"/>
          <w:sz w:val="28"/>
          <w:szCs w:val="28"/>
        </w:rPr>
        <w:t>,</w:t>
      </w:r>
      <w:r w:rsidRPr="005D0966">
        <w:rPr>
          <w:color w:val="000000"/>
          <w:sz w:val="28"/>
          <w:szCs w:val="28"/>
        </w:rPr>
        <w:t xml:space="preserve"> по данным «Центр занятости населения Люберецкого района»</w:t>
      </w:r>
      <w:r w:rsidR="00F515DB">
        <w:rPr>
          <w:color w:val="000000"/>
          <w:sz w:val="28"/>
          <w:szCs w:val="28"/>
        </w:rPr>
        <w:t>,</w:t>
      </w:r>
      <w:r w:rsidRPr="005D0966">
        <w:rPr>
          <w:color w:val="000000"/>
          <w:sz w:val="28"/>
          <w:szCs w:val="28"/>
        </w:rPr>
        <w:t xml:space="preserve"> по состоянию на 31.12.2013 года - 54 человек</w:t>
      </w:r>
      <w:r w:rsidR="00F515DB">
        <w:rPr>
          <w:color w:val="000000"/>
          <w:sz w:val="28"/>
          <w:szCs w:val="28"/>
        </w:rPr>
        <w:t>а</w:t>
      </w:r>
      <w:r w:rsidRPr="005D0966">
        <w:rPr>
          <w:color w:val="000000"/>
          <w:sz w:val="28"/>
          <w:szCs w:val="28"/>
        </w:rPr>
        <w:t>.</w:t>
      </w:r>
    </w:p>
    <w:p w:rsidR="005D0966" w:rsidRPr="005D0966" w:rsidRDefault="005D0966" w:rsidP="005D0966">
      <w:pPr>
        <w:ind w:firstLine="709"/>
        <w:jc w:val="both"/>
        <w:rPr>
          <w:sz w:val="28"/>
          <w:szCs w:val="28"/>
        </w:rPr>
      </w:pPr>
      <w:r w:rsidRPr="005D0966">
        <w:rPr>
          <w:sz w:val="28"/>
          <w:szCs w:val="28"/>
        </w:rPr>
        <w:t xml:space="preserve">В целом </w:t>
      </w:r>
      <w:r w:rsidRPr="005D0966">
        <w:rPr>
          <w:b/>
          <w:i/>
          <w:sz w:val="28"/>
          <w:szCs w:val="28"/>
        </w:rPr>
        <w:t>среднесписочная численность работников,</w:t>
      </w:r>
      <w:r w:rsidRPr="005D0966">
        <w:rPr>
          <w:sz w:val="28"/>
          <w:szCs w:val="28"/>
        </w:rPr>
        <w:t xml:space="preserve"> занятых в экономике города на 31.12.2013 года составила 17,3 тыс. чел., по сравнению с </w:t>
      </w:r>
      <w:r w:rsidR="00F515DB">
        <w:rPr>
          <w:sz w:val="28"/>
          <w:szCs w:val="28"/>
        </w:rPr>
        <w:t>2012 годом</w:t>
      </w:r>
      <w:r w:rsidRPr="005D0966">
        <w:rPr>
          <w:sz w:val="28"/>
          <w:szCs w:val="28"/>
        </w:rPr>
        <w:t xml:space="preserve"> увеличилась на 15,6%. </w:t>
      </w:r>
    </w:p>
    <w:p w:rsidR="005D0966" w:rsidRDefault="00F515DB" w:rsidP="005D0966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b/>
          <w:i/>
          <w:color w:val="000000"/>
          <w:sz w:val="28"/>
          <w:szCs w:val="28"/>
        </w:rPr>
        <w:t>Численность постоянного</w:t>
      </w:r>
      <w:r w:rsidR="005D0966" w:rsidRPr="00F515DB">
        <w:rPr>
          <w:b/>
          <w:i/>
          <w:color w:val="000000"/>
          <w:sz w:val="28"/>
          <w:szCs w:val="28"/>
        </w:rPr>
        <w:t xml:space="preserve"> населения</w:t>
      </w:r>
      <w:r w:rsidR="005D0966" w:rsidRPr="005D0966">
        <w:rPr>
          <w:color w:val="000000"/>
          <w:sz w:val="28"/>
          <w:szCs w:val="28"/>
        </w:rPr>
        <w:t xml:space="preserve"> </w:t>
      </w:r>
      <w:r w:rsidR="00AA3550">
        <w:rPr>
          <w:color w:val="000000"/>
          <w:sz w:val="28"/>
          <w:szCs w:val="28"/>
        </w:rPr>
        <w:t xml:space="preserve">городского округа </w:t>
      </w:r>
      <w:r w:rsidR="005D0966" w:rsidRPr="005D0966">
        <w:rPr>
          <w:color w:val="000000"/>
          <w:sz w:val="28"/>
          <w:szCs w:val="28"/>
        </w:rPr>
        <w:t>на 01.01.2014 года составила 39,4 тыс. чел</w:t>
      </w:r>
      <w:r>
        <w:rPr>
          <w:color w:val="000000"/>
          <w:sz w:val="28"/>
          <w:szCs w:val="28"/>
        </w:rPr>
        <w:t xml:space="preserve">. </w:t>
      </w:r>
      <w:r w:rsidR="005D0966" w:rsidRPr="005D0966">
        <w:rPr>
          <w:color w:val="000000"/>
          <w:sz w:val="28"/>
          <w:szCs w:val="28"/>
        </w:rPr>
        <w:t>Естественный прирост населения за 2013 год</w:t>
      </w:r>
      <w:r>
        <w:rPr>
          <w:color w:val="000000"/>
          <w:sz w:val="28"/>
          <w:szCs w:val="28"/>
        </w:rPr>
        <w:t xml:space="preserve"> </w:t>
      </w:r>
      <w:r w:rsidR="005D0966" w:rsidRPr="005D0966">
        <w:rPr>
          <w:color w:val="000000"/>
          <w:sz w:val="28"/>
          <w:szCs w:val="28"/>
        </w:rPr>
        <w:t>- 255 человек.</w:t>
      </w:r>
    </w:p>
    <w:p w:rsidR="00EF4FFC" w:rsidRPr="00EF4FFC" w:rsidRDefault="00EF4FFC" w:rsidP="00EF4FF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FFC">
        <w:rPr>
          <w:rFonts w:eastAsia="Calibri"/>
          <w:color w:val="000000"/>
          <w:sz w:val="28"/>
          <w:szCs w:val="28"/>
          <w:lang w:eastAsia="en-US"/>
        </w:rPr>
        <w:t>Согласно предоставленной бюджетной отчетности бюджет городского округа Котельники Московской области на 201</w:t>
      </w:r>
      <w:r w:rsidR="00CC22BD">
        <w:rPr>
          <w:rFonts w:eastAsia="Calibri"/>
          <w:color w:val="000000"/>
          <w:sz w:val="28"/>
          <w:szCs w:val="28"/>
          <w:lang w:eastAsia="en-US"/>
        </w:rPr>
        <w:t>3</w:t>
      </w:r>
      <w:r w:rsidRPr="00EF4FFC">
        <w:rPr>
          <w:rFonts w:eastAsia="Calibri"/>
          <w:color w:val="000000"/>
          <w:sz w:val="28"/>
          <w:szCs w:val="28"/>
          <w:lang w:eastAsia="en-US"/>
        </w:rPr>
        <w:t xml:space="preserve"> год был утвержден Решением Совета депутатов городского округа Котельники Московской области от </w:t>
      </w:r>
      <w:r w:rsidR="00CC22BD">
        <w:rPr>
          <w:rFonts w:eastAsia="Calibri"/>
          <w:color w:val="000000"/>
          <w:sz w:val="28"/>
          <w:szCs w:val="28"/>
          <w:lang w:eastAsia="en-US"/>
        </w:rPr>
        <w:t>19.12.2012</w:t>
      </w:r>
      <w:r w:rsidRPr="00EF4FFC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 w:rsidR="00CC22BD">
        <w:rPr>
          <w:rFonts w:eastAsia="Calibri"/>
          <w:color w:val="000000"/>
          <w:sz w:val="28"/>
          <w:szCs w:val="28"/>
          <w:lang w:eastAsia="en-US"/>
        </w:rPr>
        <w:t>407/53</w:t>
      </w:r>
      <w:r w:rsidRPr="00EF4FF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F4FFC" w:rsidRPr="00EF4FFC" w:rsidRDefault="00EF4FFC" w:rsidP="00EF4FF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FFC">
        <w:rPr>
          <w:rFonts w:eastAsia="Calibri"/>
          <w:color w:val="000000"/>
          <w:sz w:val="28"/>
          <w:szCs w:val="28"/>
          <w:lang w:eastAsia="en-US"/>
        </w:rPr>
        <w:t>С учетом изменений и дополнений утвержденные бюджетные назначения за 201</w:t>
      </w:r>
      <w:r w:rsidR="00CC22BD">
        <w:rPr>
          <w:rFonts w:eastAsia="Calibri"/>
          <w:color w:val="000000"/>
          <w:sz w:val="28"/>
          <w:szCs w:val="28"/>
          <w:lang w:eastAsia="en-US"/>
        </w:rPr>
        <w:t>3</w:t>
      </w:r>
      <w:r w:rsidRPr="00EF4FFC">
        <w:rPr>
          <w:rFonts w:eastAsia="Calibri"/>
          <w:color w:val="000000"/>
          <w:sz w:val="28"/>
          <w:szCs w:val="28"/>
          <w:lang w:eastAsia="en-US"/>
        </w:rPr>
        <w:t xml:space="preserve"> год составили:</w:t>
      </w:r>
    </w:p>
    <w:p w:rsidR="00EF4FFC" w:rsidRPr="00EF4FFC" w:rsidRDefault="00EF4FFC" w:rsidP="0041081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FFC">
        <w:rPr>
          <w:rFonts w:eastAsia="Calibri"/>
          <w:color w:val="000000"/>
          <w:sz w:val="28"/>
          <w:szCs w:val="28"/>
          <w:lang w:eastAsia="en-US"/>
        </w:rPr>
        <w:t xml:space="preserve"> доходы  в сумме </w:t>
      </w:r>
      <w:r w:rsidR="00C35B1E">
        <w:rPr>
          <w:rFonts w:eastAsia="Calibri"/>
          <w:color w:val="000000"/>
          <w:sz w:val="28"/>
          <w:szCs w:val="28"/>
          <w:lang w:eastAsia="en-US"/>
        </w:rPr>
        <w:t>1157550</w:t>
      </w:r>
      <w:r w:rsidRPr="00EF4FFC">
        <w:rPr>
          <w:rFonts w:eastAsia="Calibri"/>
          <w:color w:val="000000"/>
          <w:sz w:val="28"/>
          <w:szCs w:val="28"/>
          <w:lang w:eastAsia="en-US"/>
        </w:rPr>
        <w:t>,2 тыс. руб.;</w:t>
      </w:r>
    </w:p>
    <w:p w:rsidR="00EF4FFC" w:rsidRPr="00EF4FFC" w:rsidRDefault="00EF4FFC" w:rsidP="0041081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FFC">
        <w:rPr>
          <w:rFonts w:eastAsia="Calibri"/>
          <w:color w:val="000000"/>
          <w:sz w:val="28"/>
          <w:szCs w:val="28"/>
          <w:lang w:eastAsia="en-US"/>
        </w:rPr>
        <w:t xml:space="preserve"> расходы  в сумме </w:t>
      </w:r>
      <w:r w:rsidR="00C35B1E">
        <w:rPr>
          <w:rFonts w:eastAsia="Calibri"/>
          <w:color w:val="000000"/>
          <w:sz w:val="28"/>
          <w:szCs w:val="28"/>
          <w:lang w:eastAsia="en-US"/>
        </w:rPr>
        <w:t>1251113,2</w:t>
      </w:r>
      <w:r w:rsidRPr="00EF4FFC">
        <w:rPr>
          <w:rFonts w:eastAsia="Calibri"/>
          <w:color w:val="000000"/>
          <w:sz w:val="28"/>
          <w:szCs w:val="28"/>
          <w:lang w:eastAsia="en-US"/>
        </w:rPr>
        <w:t xml:space="preserve"> тыс. руб.;</w:t>
      </w:r>
    </w:p>
    <w:p w:rsidR="00EF4FFC" w:rsidRPr="00EF4FFC" w:rsidRDefault="00EF4FFC" w:rsidP="0041081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FFC">
        <w:rPr>
          <w:rFonts w:eastAsia="Calibri"/>
          <w:color w:val="000000"/>
          <w:sz w:val="28"/>
          <w:szCs w:val="28"/>
          <w:lang w:eastAsia="en-US"/>
        </w:rPr>
        <w:t xml:space="preserve"> источники внутреннего финансирования дефицита бюджета в сумме</w:t>
      </w:r>
      <w:r w:rsidRPr="00EF4FFC"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 </w:t>
      </w:r>
      <w:r w:rsidR="00C35B1E">
        <w:rPr>
          <w:rFonts w:eastAsia="Calibri"/>
          <w:color w:val="000000"/>
          <w:sz w:val="28"/>
          <w:szCs w:val="28"/>
          <w:lang w:eastAsia="en-US"/>
        </w:rPr>
        <w:t>93563,0</w:t>
      </w:r>
      <w:r w:rsidRPr="00EF4FFC">
        <w:rPr>
          <w:rFonts w:eastAsia="Calibri"/>
          <w:color w:val="000000"/>
          <w:sz w:val="28"/>
          <w:szCs w:val="28"/>
          <w:lang w:eastAsia="en-US"/>
        </w:rPr>
        <w:t xml:space="preserve"> тыс. руб.</w:t>
      </w:r>
    </w:p>
    <w:p w:rsidR="00EF4FFC" w:rsidRDefault="00EF4FFC" w:rsidP="00EF4FF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FFC">
        <w:rPr>
          <w:rFonts w:eastAsia="Calibri"/>
          <w:color w:val="000000"/>
          <w:sz w:val="28"/>
          <w:szCs w:val="28"/>
          <w:lang w:eastAsia="en-US"/>
        </w:rPr>
        <w:t>Данные об исполнении основных характеристик бюджета городского округа Котельники представлены в таблице</w:t>
      </w:r>
      <w:r w:rsidR="002239C4">
        <w:rPr>
          <w:rFonts w:eastAsia="Calibri"/>
          <w:color w:val="000000"/>
          <w:sz w:val="28"/>
          <w:szCs w:val="28"/>
          <w:lang w:eastAsia="en-US"/>
        </w:rPr>
        <w:t>:</w:t>
      </w:r>
    </w:p>
    <w:p w:rsidR="00F515DB" w:rsidRDefault="00F515DB" w:rsidP="00EF4FF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515DB" w:rsidRDefault="00F515DB" w:rsidP="00EF4FF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F4FFC" w:rsidRPr="00EF4FFC" w:rsidRDefault="00EF4FFC" w:rsidP="00EF4FFC">
      <w:pPr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EF4FFC">
        <w:rPr>
          <w:rFonts w:eastAsia="Calibri"/>
          <w:color w:val="000000"/>
          <w:lang w:eastAsia="en-US"/>
        </w:rPr>
        <w:lastRenderedPageBreak/>
        <w:t>тыс. руб.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992"/>
        <w:gridCol w:w="1134"/>
        <w:gridCol w:w="993"/>
        <w:gridCol w:w="567"/>
        <w:gridCol w:w="992"/>
        <w:gridCol w:w="567"/>
        <w:gridCol w:w="1134"/>
        <w:gridCol w:w="992"/>
      </w:tblGrid>
      <w:tr w:rsidR="000E497D" w:rsidTr="00B706CD">
        <w:trPr>
          <w:trHeight w:val="510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497D" w:rsidRDefault="00904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0E497D">
              <w:rPr>
                <w:color w:val="000000"/>
                <w:sz w:val="20"/>
                <w:szCs w:val="20"/>
              </w:rPr>
              <w:t>аименование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E497D" w:rsidRDefault="00904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="000E497D">
              <w:rPr>
                <w:color w:val="000000"/>
                <w:sz w:val="20"/>
                <w:szCs w:val="20"/>
              </w:rPr>
              <w:t>юджетные назначения (с учетом изменений  и дополнений на 01.01)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E497D" w:rsidRDefault="00904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0E497D">
              <w:rPr>
                <w:color w:val="000000"/>
                <w:sz w:val="20"/>
                <w:szCs w:val="20"/>
              </w:rPr>
              <w:t xml:space="preserve">актическое исполнение бюджета 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497D" w:rsidRDefault="00904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0E497D">
              <w:rPr>
                <w:color w:val="000000"/>
                <w:sz w:val="20"/>
                <w:szCs w:val="20"/>
              </w:rPr>
              <w:t>сполнение по отношению к плановым показателям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E497D" w:rsidRDefault="000E4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Разница между фактическим исполнением за 2013г. по отношению к 2012г.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E497D" w:rsidRDefault="000E4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от фактического исполнения 2013г. по отношению к 2012г.</w:t>
            </w:r>
          </w:p>
        </w:tc>
      </w:tr>
      <w:tr w:rsidR="000E497D" w:rsidTr="00B706CD">
        <w:trPr>
          <w:trHeight w:val="46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497D" w:rsidRDefault="000E4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E497D" w:rsidRDefault="000E4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E497D" w:rsidRDefault="000E4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497D" w:rsidRDefault="000E49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(гр.2- гр.4)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497D" w:rsidRDefault="000E49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 (гр</w:t>
            </w:r>
            <w:proofErr w:type="gramStart"/>
            <w:r>
              <w:rPr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color w:val="000000"/>
                <w:sz w:val="16"/>
                <w:szCs w:val="16"/>
              </w:rPr>
              <w:t>/гр2*100)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497D" w:rsidRDefault="000E49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(гр.3- гр.5)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497D" w:rsidRDefault="000E497D" w:rsidP="000E49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 (гр5/гр3*100)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497D" w:rsidRDefault="000E4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497D" w:rsidRDefault="000E497D">
            <w:pPr>
              <w:rPr>
                <w:color w:val="000000"/>
                <w:sz w:val="20"/>
                <w:szCs w:val="20"/>
              </w:rPr>
            </w:pPr>
          </w:p>
        </w:tc>
      </w:tr>
      <w:tr w:rsidR="000E497D" w:rsidTr="00B706CD">
        <w:trPr>
          <w:trHeight w:val="822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497D" w:rsidRDefault="000E4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497D" w:rsidRDefault="000E4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497D" w:rsidRDefault="000E4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497D" w:rsidRDefault="000E4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497D" w:rsidRDefault="000E4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497D" w:rsidRDefault="000E4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497D" w:rsidRDefault="000E4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497D" w:rsidRDefault="000E4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497D" w:rsidRDefault="000E497D">
            <w:pPr>
              <w:rPr>
                <w:color w:val="000000"/>
                <w:sz w:val="20"/>
                <w:szCs w:val="20"/>
              </w:rPr>
            </w:pPr>
          </w:p>
        </w:tc>
      </w:tr>
      <w:tr w:rsidR="000E497D" w:rsidTr="00B706CD">
        <w:trPr>
          <w:trHeight w:val="22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497D" w:rsidRDefault="000E4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497D" w:rsidRDefault="000E4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497D" w:rsidRDefault="000E4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497D" w:rsidRDefault="000E4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497D" w:rsidRDefault="000E4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497D" w:rsidRDefault="000E4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497D" w:rsidRDefault="000E4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497D" w:rsidRDefault="000E4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497D" w:rsidRDefault="000E4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497D" w:rsidRDefault="000E4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E497D" w:rsidRDefault="000E4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0E497D" w:rsidTr="00B706CD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965480,2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1157550</w:t>
            </w:r>
            <w:r w:rsidR="00B706CD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1127764,0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16063,2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29786,2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178347,0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</w:t>
            </w:r>
          </w:p>
        </w:tc>
      </w:tr>
      <w:tr w:rsidR="000E497D" w:rsidTr="00B706CD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1251113</w:t>
            </w:r>
            <w:r w:rsidR="00B706CD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995152,0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255961,2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105495,0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111,9</w:t>
            </w:r>
          </w:p>
        </w:tc>
      </w:tr>
      <w:tr w:rsidR="000E497D" w:rsidTr="00B706CD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дефицит </w:t>
            </w:r>
          </w:p>
          <w:p w:rsidR="000E497D" w:rsidRDefault="000E4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(-)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-20248,8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-93563,0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59760,0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132612,0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80008,8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226175,0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72852,0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0E497D" w:rsidTr="00B706CD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97D" w:rsidRDefault="000E4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профицит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97D" w:rsidRDefault="000E4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97D" w:rsidRDefault="000E4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97D" w:rsidRDefault="000E4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97D" w:rsidRDefault="000E4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97D" w:rsidRDefault="000E4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97D" w:rsidRDefault="000E4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97D" w:rsidRDefault="000E4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97D" w:rsidRDefault="000E4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97D" w:rsidRDefault="000E4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97D" w:rsidRDefault="000E497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F4FFC" w:rsidRPr="00EF4FFC" w:rsidRDefault="00EF4FFC" w:rsidP="00EF4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F4FFC" w:rsidRPr="00EF4FFC" w:rsidRDefault="009B1464" w:rsidP="00EF4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F4FFC" w:rsidRPr="00EF4FFC">
        <w:rPr>
          <w:sz w:val="28"/>
          <w:szCs w:val="28"/>
        </w:rPr>
        <w:t xml:space="preserve">сновные характеристики бюджета городского округа </w:t>
      </w:r>
      <w:r>
        <w:rPr>
          <w:sz w:val="28"/>
          <w:szCs w:val="28"/>
        </w:rPr>
        <w:t>в</w:t>
      </w:r>
      <w:r w:rsidRPr="00EF4FFC">
        <w:rPr>
          <w:sz w:val="28"/>
          <w:szCs w:val="28"/>
        </w:rPr>
        <w:t xml:space="preserve"> отчетный период, по сравнению с предыдущим годом</w:t>
      </w:r>
      <w:r w:rsidR="00EF4FFC" w:rsidRPr="00EF4FFC">
        <w:rPr>
          <w:sz w:val="28"/>
          <w:szCs w:val="28"/>
        </w:rPr>
        <w:t>:</w:t>
      </w:r>
    </w:p>
    <w:p w:rsidR="00EF4FFC" w:rsidRPr="00EF4FFC" w:rsidRDefault="00EF4FFC" w:rsidP="00EF4F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4FFC">
        <w:rPr>
          <w:sz w:val="28"/>
          <w:szCs w:val="28"/>
        </w:rPr>
        <w:t>- доходная часть бюджета городского округа в 201</w:t>
      </w:r>
      <w:r w:rsidR="002239C4">
        <w:rPr>
          <w:sz w:val="28"/>
          <w:szCs w:val="28"/>
        </w:rPr>
        <w:t>3</w:t>
      </w:r>
      <w:r w:rsidRPr="00EF4FFC">
        <w:rPr>
          <w:sz w:val="28"/>
          <w:szCs w:val="28"/>
        </w:rPr>
        <w:t xml:space="preserve"> году </w:t>
      </w:r>
      <w:r w:rsidR="009B1464">
        <w:rPr>
          <w:sz w:val="28"/>
          <w:szCs w:val="28"/>
        </w:rPr>
        <w:t>исполнена</w:t>
      </w:r>
      <w:r w:rsidRPr="00EF4FFC">
        <w:rPr>
          <w:sz w:val="28"/>
          <w:szCs w:val="28"/>
        </w:rPr>
        <w:t xml:space="preserve"> </w:t>
      </w:r>
      <w:r w:rsidR="009B1464">
        <w:rPr>
          <w:sz w:val="28"/>
          <w:szCs w:val="28"/>
        </w:rPr>
        <w:t>в</w:t>
      </w:r>
      <w:r w:rsidRPr="00EF4FFC">
        <w:rPr>
          <w:sz w:val="28"/>
          <w:szCs w:val="28"/>
        </w:rPr>
        <w:t xml:space="preserve"> сумм</w:t>
      </w:r>
      <w:r w:rsidR="009B1464">
        <w:rPr>
          <w:sz w:val="28"/>
          <w:szCs w:val="28"/>
        </w:rPr>
        <w:t>е</w:t>
      </w:r>
      <w:r w:rsidRPr="00EF4FFC">
        <w:rPr>
          <w:sz w:val="28"/>
          <w:szCs w:val="28"/>
        </w:rPr>
        <w:t xml:space="preserve"> </w:t>
      </w:r>
      <w:r w:rsidR="002239C4" w:rsidRPr="002239C4">
        <w:rPr>
          <w:color w:val="000000"/>
          <w:sz w:val="28"/>
          <w:szCs w:val="28"/>
        </w:rPr>
        <w:t>1127764,0</w:t>
      </w:r>
      <w:r w:rsidRPr="00EF4FFC">
        <w:rPr>
          <w:sz w:val="28"/>
          <w:szCs w:val="28"/>
        </w:rPr>
        <w:t xml:space="preserve"> тыс. руб., сумма недополученных доходов по сравнению с утвержденными назначениями </w:t>
      </w:r>
      <w:r w:rsidRPr="002239C4">
        <w:rPr>
          <w:sz w:val="28"/>
          <w:szCs w:val="28"/>
        </w:rPr>
        <w:t xml:space="preserve">составляет </w:t>
      </w:r>
      <w:r w:rsidR="002239C4" w:rsidRPr="002239C4">
        <w:rPr>
          <w:color w:val="000000"/>
          <w:sz w:val="28"/>
          <w:szCs w:val="28"/>
        </w:rPr>
        <w:t>29786,2</w:t>
      </w:r>
      <w:r w:rsidRPr="002239C4">
        <w:rPr>
          <w:sz w:val="32"/>
          <w:szCs w:val="28"/>
        </w:rPr>
        <w:t xml:space="preserve"> </w:t>
      </w:r>
      <w:r w:rsidRPr="00EF4FFC">
        <w:rPr>
          <w:sz w:val="28"/>
          <w:szCs w:val="28"/>
        </w:rPr>
        <w:t>тыс. руб. или выполнена на 9</w:t>
      </w:r>
      <w:r w:rsidR="002239C4">
        <w:rPr>
          <w:sz w:val="28"/>
          <w:szCs w:val="28"/>
        </w:rPr>
        <w:t>7,</w:t>
      </w:r>
      <w:r w:rsidR="009B1464">
        <w:rPr>
          <w:sz w:val="28"/>
          <w:szCs w:val="28"/>
        </w:rPr>
        <w:t>4%.</w:t>
      </w:r>
      <w:r w:rsidRPr="00EF4FFC">
        <w:rPr>
          <w:sz w:val="28"/>
          <w:szCs w:val="28"/>
        </w:rPr>
        <w:t xml:space="preserve"> </w:t>
      </w:r>
      <w:r w:rsidR="009B1464">
        <w:rPr>
          <w:sz w:val="28"/>
          <w:szCs w:val="28"/>
        </w:rPr>
        <w:t>П</w:t>
      </w:r>
      <w:r w:rsidRPr="00EF4FFC">
        <w:rPr>
          <w:sz w:val="28"/>
          <w:szCs w:val="28"/>
        </w:rPr>
        <w:t>о отношению к 201</w:t>
      </w:r>
      <w:r w:rsidR="002239C4">
        <w:rPr>
          <w:sz w:val="28"/>
          <w:szCs w:val="28"/>
        </w:rPr>
        <w:t>2</w:t>
      </w:r>
      <w:r w:rsidRPr="00EF4FFC">
        <w:rPr>
          <w:sz w:val="28"/>
          <w:szCs w:val="28"/>
        </w:rPr>
        <w:t xml:space="preserve"> году </w:t>
      </w:r>
      <w:r w:rsidR="009B1464">
        <w:rPr>
          <w:sz w:val="28"/>
          <w:szCs w:val="28"/>
        </w:rPr>
        <w:t xml:space="preserve">фактическое поступление </w:t>
      </w:r>
      <w:r w:rsidRPr="00EF4FFC">
        <w:rPr>
          <w:sz w:val="28"/>
          <w:szCs w:val="28"/>
        </w:rPr>
        <w:t>доход</w:t>
      </w:r>
      <w:r w:rsidR="009B1464">
        <w:rPr>
          <w:sz w:val="28"/>
          <w:szCs w:val="28"/>
        </w:rPr>
        <w:t>ов</w:t>
      </w:r>
      <w:r w:rsidRPr="00EF4FFC">
        <w:rPr>
          <w:sz w:val="28"/>
          <w:szCs w:val="28"/>
        </w:rPr>
        <w:t xml:space="preserve"> </w:t>
      </w:r>
      <w:r w:rsidR="009B1464">
        <w:rPr>
          <w:sz w:val="28"/>
          <w:szCs w:val="28"/>
        </w:rPr>
        <w:t xml:space="preserve">в бюджет городского округа </w:t>
      </w:r>
      <w:r w:rsidRPr="00EF4FFC">
        <w:rPr>
          <w:sz w:val="28"/>
          <w:szCs w:val="28"/>
        </w:rPr>
        <w:t>увеличил</w:t>
      </w:r>
      <w:r w:rsidR="009B1464">
        <w:rPr>
          <w:sz w:val="28"/>
          <w:szCs w:val="28"/>
        </w:rPr>
        <w:t>о</w:t>
      </w:r>
      <w:r w:rsidRPr="00EF4FFC">
        <w:rPr>
          <w:sz w:val="28"/>
          <w:szCs w:val="28"/>
        </w:rPr>
        <w:t xml:space="preserve">сь на </w:t>
      </w:r>
      <w:r w:rsidR="009B1464">
        <w:rPr>
          <w:sz w:val="28"/>
          <w:szCs w:val="28"/>
        </w:rPr>
        <w:t>178347</w:t>
      </w:r>
      <w:r w:rsidRPr="00EF4FFC">
        <w:rPr>
          <w:sz w:val="28"/>
          <w:szCs w:val="28"/>
        </w:rPr>
        <w:t xml:space="preserve">,0 тыс. руб. или </w:t>
      </w:r>
      <w:r w:rsidR="009B1464">
        <w:rPr>
          <w:sz w:val="28"/>
          <w:szCs w:val="28"/>
        </w:rPr>
        <w:t xml:space="preserve">на </w:t>
      </w:r>
      <w:r w:rsidR="00EF5004">
        <w:rPr>
          <w:sz w:val="28"/>
          <w:szCs w:val="28"/>
        </w:rPr>
        <w:t>1</w:t>
      </w:r>
      <w:r w:rsidR="009B1464">
        <w:rPr>
          <w:sz w:val="28"/>
          <w:szCs w:val="28"/>
        </w:rPr>
        <w:t>18</w:t>
      </w:r>
      <w:r w:rsidRPr="00EF4FFC">
        <w:rPr>
          <w:sz w:val="28"/>
          <w:szCs w:val="28"/>
        </w:rPr>
        <w:t>,8%;</w:t>
      </w:r>
    </w:p>
    <w:p w:rsidR="00EF4FFC" w:rsidRPr="00EF4FFC" w:rsidRDefault="00EF4FFC" w:rsidP="00EF4F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4FFC">
        <w:rPr>
          <w:sz w:val="28"/>
          <w:szCs w:val="28"/>
        </w:rPr>
        <w:t>- расходная часть бюджета городского округа в 201</w:t>
      </w:r>
      <w:r w:rsidR="009B1464">
        <w:rPr>
          <w:sz w:val="28"/>
          <w:szCs w:val="28"/>
        </w:rPr>
        <w:t>3</w:t>
      </w:r>
      <w:r w:rsidRPr="00EF4FFC">
        <w:rPr>
          <w:sz w:val="28"/>
          <w:szCs w:val="28"/>
        </w:rPr>
        <w:t xml:space="preserve"> году </w:t>
      </w:r>
      <w:r w:rsidR="009B1464">
        <w:rPr>
          <w:sz w:val="28"/>
          <w:szCs w:val="28"/>
        </w:rPr>
        <w:t>исполнена</w:t>
      </w:r>
      <w:r w:rsidRPr="00EF4FFC">
        <w:rPr>
          <w:sz w:val="28"/>
          <w:szCs w:val="28"/>
        </w:rPr>
        <w:t xml:space="preserve"> </w:t>
      </w:r>
      <w:r w:rsidR="00EF5004">
        <w:rPr>
          <w:sz w:val="28"/>
          <w:szCs w:val="28"/>
        </w:rPr>
        <w:t>в</w:t>
      </w:r>
      <w:r w:rsidRPr="00EF4FFC">
        <w:rPr>
          <w:sz w:val="28"/>
          <w:szCs w:val="28"/>
        </w:rPr>
        <w:t xml:space="preserve"> сумм</w:t>
      </w:r>
      <w:r w:rsidR="00EF5004">
        <w:rPr>
          <w:sz w:val="28"/>
          <w:szCs w:val="28"/>
        </w:rPr>
        <w:t>е</w:t>
      </w:r>
      <w:r w:rsidRPr="00EF4FFC">
        <w:rPr>
          <w:sz w:val="28"/>
          <w:szCs w:val="28"/>
        </w:rPr>
        <w:t xml:space="preserve"> </w:t>
      </w:r>
      <w:r w:rsidR="00EF5004">
        <w:rPr>
          <w:sz w:val="28"/>
          <w:szCs w:val="28"/>
        </w:rPr>
        <w:t>995152</w:t>
      </w:r>
      <w:r w:rsidRPr="00EF4FFC">
        <w:rPr>
          <w:sz w:val="28"/>
          <w:szCs w:val="28"/>
        </w:rPr>
        <w:t xml:space="preserve">,0 тыс. руб., сумма сэкономленных средств по сравнению с утвержденными назначениями составляет </w:t>
      </w:r>
      <w:r w:rsidR="00EF5004">
        <w:rPr>
          <w:sz w:val="28"/>
          <w:szCs w:val="28"/>
        </w:rPr>
        <w:t>255961,2</w:t>
      </w:r>
      <w:r w:rsidRPr="00EF4FFC">
        <w:rPr>
          <w:sz w:val="28"/>
          <w:szCs w:val="28"/>
        </w:rPr>
        <w:t xml:space="preserve"> тыс. руб. или выполнена на </w:t>
      </w:r>
      <w:r w:rsidR="00EF5004">
        <w:rPr>
          <w:sz w:val="28"/>
          <w:szCs w:val="28"/>
        </w:rPr>
        <w:t>79,5%. П</w:t>
      </w:r>
      <w:r w:rsidRPr="00EF4FFC">
        <w:rPr>
          <w:sz w:val="28"/>
          <w:szCs w:val="28"/>
        </w:rPr>
        <w:t>о отношению к 201</w:t>
      </w:r>
      <w:r w:rsidR="00EF5004">
        <w:rPr>
          <w:sz w:val="28"/>
          <w:szCs w:val="28"/>
        </w:rPr>
        <w:t>2</w:t>
      </w:r>
      <w:r w:rsidRPr="00EF4FFC">
        <w:rPr>
          <w:sz w:val="28"/>
          <w:szCs w:val="28"/>
        </w:rPr>
        <w:t xml:space="preserve"> году  </w:t>
      </w:r>
      <w:r w:rsidR="00EF5004">
        <w:rPr>
          <w:sz w:val="28"/>
          <w:szCs w:val="28"/>
        </w:rPr>
        <w:t xml:space="preserve">фактическое исполнение расходной части бюджета </w:t>
      </w:r>
      <w:r w:rsidRPr="00EF4FFC">
        <w:rPr>
          <w:sz w:val="28"/>
          <w:szCs w:val="28"/>
        </w:rPr>
        <w:t>увеличил</w:t>
      </w:r>
      <w:r w:rsidR="00EF5004">
        <w:rPr>
          <w:sz w:val="28"/>
          <w:szCs w:val="28"/>
        </w:rPr>
        <w:t>о</w:t>
      </w:r>
      <w:r w:rsidRPr="00EF4FFC">
        <w:rPr>
          <w:sz w:val="28"/>
          <w:szCs w:val="28"/>
        </w:rPr>
        <w:t xml:space="preserve">сь на </w:t>
      </w:r>
      <w:r w:rsidR="00EF5004">
        <w:rPr>
          <w:sz w:val="28"/>
          <w:szCs w:val="28"/>
        </w:rPr>
        <w:t>105495</w:t>
      </w:r>
      <w:r w:rsidRPr="00EF4FFC">
        <w:rPr>
          <w:sz w:val="28"/>
          <w:szCs w:val="28"/>
        </w:rPr>
        <w:t xml:space="preserve">,0 тыс. руб. или на </w:t>
      </w:r>
      <w:r w:rsidR="00EF5004">
        <w:rPr>
          <w:sz w:val="28"/>
          <w:szCs w:val="28"/>
        </w:rPr>
        <w:t>111,9</w:t>
      </w:r>
      <w:r w:rsidRPr="00EF4FFC">
        <w:rPr>
          <w:sz w:val="28"/>
          <w:szCs w:val="28"/>
        </w:rPr>
        <w:t xml:space="preserve">%. </w:t>
      </w:r>
    </w:p>
    <w:p w:rsidR="00EF4FFC" w:rsidRPr="00EF4FFC" w:rsidRDefault="00EF4FFC" w:rsidP="00EF4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4FFC">
        <w:rPr>
          <w:sz w:val="28"/>
          <w:szCs w:val="28"/>
        </w:rPr>
        <w:t xml:space="preserve"> Результатом исполнения бюджета явилось образование профицита в сумме </w:t>
      </w:r>
      <w:r w:rsidR="00EF5004">
        <w:rPr>
          <w:sz w:val="28"/>
          <w:szCs w:val="28"/>
        </w:rPr>
        <w:t>132612</w:t>
      </w:r>
      <w:r w:rsidRPr="00EF4FFC">
        <w:rPr>
          <w:sz w:val="28"/>
          <w:szCs w:val="28"/>
        </w:rPr>
        <w:t xml:space="preserve">,0 тыс. руб., что в </w:t>
      </w:r>
      <w:r w:rsidR="00EF5004">
        <w:rPr>
          <w:sz w:val="28"/>
          <w:szCs w:val="28"/>
        </w:rPr>
        <w:t>2,4</w:t>
      </w:r>
      <w:r w:rsidRPr="00EF4FFC">
        <w:rPr>
          <w:sz w:val="28"/>
          <w:szCs w:val="28"/>
        </w:rPr>
        <w:t xml:space="preserve"> раза превысило сумму планируемого дефицита.</w:t>
      </w:r>
    </w:p>
    <w:p w:rsidR="00EF4FFC" w:rsidRPr="00EF4FFC" w:rsidRDefault="00EF4FFC" w:rsidP="00EF4FFC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F4FFC">
        <w:rPr>
          <w:iCs/>
          <w:color w:val="000000"/>
          <w:sz w:val="28"/>
          <w:szCs w:val="28"/>
        </w:rPr>
        <w:t xml:space="preserve">       </w:t>
      </w:r>
    </w:p>
    <w:p w:rsidR="00EF4FFC" w:rsidRPr="00EF4FFC" w:rsidRDefault="00EF4FFC" w:rsidP="00EF4F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F4FFC">
        <w:rPr>
          <w:b/>
          <w:bCs/>
          <w:color w:val="000000"/>
          <w:sz w:val="28"/>
          <w:szCs w:val="28"/>
        </w:rPr>
        <w:t xml:space="preserve">2. Оценка исполнения доходной части бюджета </w:t>
      </w:r>
    </w:p>
    <w:p w:rsidR="00EF4FFC" w:rsidRPr="00EF4FFC" w:rsidRDefault="00EF4FFC" w:rsidP="00EF4F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F4FFC">
        <w:rPr>
          <w:b/>
          <w:bCs/>
          <w:color w:val="000000"/>
          <w:sz w:val="28"/>
          <w:szCs w:val="28"/>
        </w:rPr>
        <w:t>городского округа Котельники Московской области за 201</w:t>
      </w:r>
      <w:r w:rsidR="00EF5004">
        <w:rPr>
          <w:b/>
          <w:bCs/>
          <w:color w:val="000000"/>
          <w:sz w:val="28"/>
          <w:szCs w:val="28"/>
        </w:rPr>
        <w:t>3</w:t>
      </w:r>
      <w:r w:rsidRPr="00EF4FFC">
        <w:rPr>
          <w:b/>
          <w:bCs/>
          <w:color w:val="000000"/>
          <w:sz w:val="28"/>
          <w:szCs w:val="28"/>
        </w:rPr>
        <w:t xml:space="preserve"> год.</w:t>
      </w:r>
    </w:p>
    <w:p w:rsidR="00EF4FFC" w:rsidRPr="00EF4FFC" w:rsidRDefault="00EF5004" w:rsidP="00EF4FFC">
      <w:pPr>
        <w:ind w:firstLine="540"/>
        <w:jc w:val="both"/>
        <w:rPr>
          <w:sz w:val="28"/>
          <w:szCs w:val="28"/>
        </w:rPr>
      </w:pPr>
      <w:r w:rsidRPr="004F38FB">
        <w:rPr>
          <w:sz w:val="28"/>
          <w:szCs w:val="28"/>
        </w:rPr>
        <w:t>Решением Совета депутатов городского округа Котельники Московской области от 19.12.2012 № 407/53 «О бюджете городского округа Котельники Московской области на 2013» были утверждены бюджетные назначения   по основным кодам бюджетной классификации доходов в разрезе групп и подгрупп.</w:t>
      </w:r>
    </w:p>
    <w:p w:rsidR="00EF4FFC" w:rsidRPr="00845752" w:rsidRDefault="00EF4FFC" w:rsidP="00EF4FFC">
      <w:pPr>
        <w:ind w:firstLine="540"/>
        <w:jc w:val="both"/>
        <w:rPr>
          <w:sz w:val="28"/>
          <w:szCs w:val="28"/>
        </w:rPr>
      </w:pPr>
      <w:r w:rsidRPr="00EF4FFC">
        <w:rPr>
          <w:sz w:val="28"/>
          <w:szCs w:val="28"/>
        </w:rPr>
        <w:t>Кроме того, в утвержденный бюджет городского округа Котельники Московской области на 201</w:t>
      </w:r>
      <w:r w:rsidR="007C54DA">
        <w:rPr>
          <w:sz w:val="28"/>
          <w:szCs w:val="28"/>
        </w:rPr>
        <w:t>3</w:t>
      </w:r>
      <w:r w:rsidRPr="00EF4FFC">
        <w:rPr>
          <w:sz w:val="28"/>
          <w:szCs w:val="28"/>
        </w:rPr>
        <w:t xml:space="preserve"> год было внесено 1</w:t>
      </w:r>
      <w:r w:rsidR="00273D41">
        <w:rPr>
          <w:sz w:val="28"/>
          <w:szCs w:val="28"/>
        </w:rPr>
        <w:t>8</w:t>
      </w:r>
      <w:r w:rsidRPr="00EF4FFC">
        <w:rPr>
          <w:sz w:val="28"/>
          <w:szCs w:val="28"/>
        </w:rPr>
        <w:t xml:space="preserve"> изменений. В результате чего, бюджетные назначения на 201</w:t>
      </w:r>
      <w:r w:rsidR="007C54DA">
        <w:rPr>
          <w:sz w:val="28"/>
          <w:szCs w:val="28"/>
        </w:rPr>
        <w:t>3</w:t>
      </w:r>
      <w:r w:rsidRPr="00EF4FFC">
        <w:rPr>
          <w:sz w:val="28"/>
          <w:szCs w:val="28"/>
        </w:rPr>
        <w:t xml:space="preserve"> год по доходам бюджета были увеличены на </w:t>
      </w:r>
      <w:r w:rsidR="00845752" w:rsidRPr="00845752">
        <w:rPr>
          <w:sz w:val="28"/>
          <w:szCs w:val="28"/>
        </w:rPr>
        <w:t>3,</w:t>
      </w:r>
      <w:r w:rsidR="0061329F">
        <w:rPr>
          <w:sz w:val="28"/>
          <w:szCs w:val="28"/>
        </w:rPr>
        <w:t>6</w:t>
      </w:r>
      <w:r w:rsidRPr="00845752">
        <w:rPr>
          <w:sz w:val="28"/>
          <w:szCs w:val="28"/>
        </w:rPr>
        <w:t xml:space="preserve">% или на общую сумму </w:t>
      </w:r>
      <w:r w:rsidR="00845752" w:rsidRPr="00845752">
        <w:rPr>
          <w:sz w:val="28"/>
          <w:szCs w:val="28"/>
        </w:rPr>
        <w:t>39919,2</w:t>
      </w:r>
      <w:r w:rsidRPr="00845752">
        <w:rPr>
          <w:sz w:val="28"/>
          <w:szCs w:val="28"/>
        </w:rPr>
        <w:t xml:space="preserve"> тыс. руб. и составили </w:t>
      </w:r>
      <w:r w:rsidR="00845752" w:rsidRPr="00845752">
        <w:rPr>
          <w:sz w:val="28"/>
          <w:szCs w:val="28"/>
        </w:rPr>
        <w:t>1157550,2</w:t>
      </w:r>
      <w:r w:rsidRPr="00845752">
        <w:rPr>
          <w:sz w:val="28"/>
          <w:szCs w:val="28"/>
        </w:rPr>
        <w:t xml:space="preserve"> тыс. руб., против первоначально установленного плана в сумме </w:t>
      </w:r>
      <w:r w:rsidR="00845752" w:rsidRPr="00845752">
        <w:rPr>
          <w:sz w:val="28"/>
          <w:szCs w:val="28"/>
        </w:rPr>
        <w:t>1117631</w:t>
      </w:r>
      <w:r w:rsidRPr="00845752">
        <w:rPr>
          <w:sz w:val="28"/>
          <w:szCs w:val="28"/>
        </w:rPr>
        <w:t>,0 тыс. руб.</w:t>
      </w:r>
    </w:p>
    <w:p w:rsidR="00140317" w:rsidRDefault="00556FBA" w:rsidP="00140317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40317">
        <w:rPr>
          <w:sz w:val="28"/>
          <w:szCs w:val="28"/>
        </w:rPr>
        <w:t>ервоначальн</w:t>
      </w:r>
      <w:r>
        <w:rPr>
          <w:sz w:val="28"/>
          <w:szCs w:val="28"/>
        </w:rPr>
        <w:t>ые утвержденные</w:t>
      </w:r>
      <w:r w:rsidR="00140317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="00140317">
        <w:rPr>
          <w:sz w:val="28"/>
          <w:szCs w:val="28"/>
        </w:rPr>
        <w:t xml:space="preserve"> дох</w:t>
      </w:r>
      <w:r>
        <w:rPr>
          <w:sz w:val="28"/>
          <w:szCs w:val="28"/>
        </w:rPr>
        <w:t>одной части бюджета городского округа в течение года были изменены</w:t>
      </w:r>
      <w:r w:rsidR="00140317">
        <w:rPr>
          <w:sz w:val="28"/>
          <w:szCs w:val="28"/>
        </w:rPr>
        <w:t xml:space="preserve"> в разрезе следующих источников</w:t>
      </w:r>
      <w:r>
        <w:rPr>
          <w:sz w:val="28"/>
          <w:szCs w:val="28"/>
        </w:rPr>
        <w:t>:</w:t>
      </w:r>
    </w:p>
    <w:p w:rsidR="0061329F" w:rsidRPr="0061329F" w:rsidRDefault="0061329F" w:rsidP="00410812">
      <w:pPr>
        <w:pStyle w:val="afd"/>
        <w:numPr>
          <w:ilvl w:val="0"/>
          <w:numId w:val="3"/>
        </w:numPr>
        <w:spacing w:after="0"/>
        <w:ind w:left="924" w:hanging="357"/>
        <w:jc w:val="both"/>
        <w:rPr>
          <w:rFonts w:ascii="Times New Roman" w:hAnsi="Times New Roman"/>
          <w:sz w:val="28"/>
          <w:szCs w:val="28"/>
          <w:u w:val="single"/>
        </w:rPr>
      </w:pPr>
      <w:r w:rsidRPr="0061329F">
        <w:rPr>
          <w:rFonts w:ascii="Times New Roman" w:hAnsi="Times New Roman"/>
          <w:sz w:val="28"/>
          <w:szCs w:val="28"/>
          <w:u w:val="single"/>
        </w:rPr>
        <w:t>В части увеличения:</w:t>
      </w:r>
    </w:p>
    <w:p w:rsidR="00556FBA" w:rsidRPr="00A43D96" w:rsidRDefault="00556FBA" w:rsidP="00556FBA">
      <w:pPr>
        <w:jc w:val="both"/>
        <w:rPr>
          <w:sz w:val="28"/>
          <w:szCs w:val="28"/>
        </w:rPr>
      </w:pPr>
      <w:r w:rsidRPr="00A43D96">
        <w:rPr>
          <w:sz w:val="28"/>
          <w:szCs w:val="28"/>
        </w:rPr>
        <w:t xml:space="preserve">- налог на прибыль, доход  на сумму </w:t>
      </w:r>
      <w:r>
        <w:rPr>
          <w:sz w:val="28"/>
          <w:szCs w:val="28"/>
        </w:rPr>
        <w:t>39347,0</w:t>
      </w:r>
      <w:r w:rsidRPr="00A43D96">
        <w:rPr>
          <w:sz w:val="28"/>
          <w:szCs w:val="28"/>
        </w:rPr>
        <w:t xml:space="preserve">  тыс. руб. или на </w:t>
      </w:r>
      <w:r>
        <w:rPr>
          <w:sz w:val="28"/>
          <w:szCs w:val="28"/>
        </w:rPr>
        <w:t>9,5</w:t>
      </w:r>
      <w:r w:rsidRPr="00A43D96">
        <w:rPr>
          <w:sz w:val="28"/>
          <w:szCs w:val="28"/>
        </w:rPr>
        <w:t>%;</w:t>
      </w:r>
    </w:p>
    <w:p w:rsidR="00556FBA" w:rsidRPr="00A43D96" w:rsidRDefault="00556FBA" w:rsidP="00556FBA">
      <w:pPr>
        <w:jc w:val="both"/>
        <w:rPr>
          <w:sz w:val="28"/>
          <w:szCs w:val="28"/>
        </w:rPr>
      </w:pPr>
      <w:r w:rsidRPr="00A43D96">
        <w:rPr>
          <w:sz w:val="28"/>
          <w:szCs w:val="28"/>
        </w:rPr>
        <w:t xml:space="preserve">- налог на имущество на сумму </w:t>
      </w:r>
      <w:r>
        <w:rPr>
          <w:sz w:val="28"/>
          <w:szCs w:val="28"/>
        </w:rPr>
        <w:t>10749,0</w:t>
      </w:r>
      <w:r w:rsidRPr="00A43D96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6,4</w:t>
      </w:r>
      <w:r w:rsidRPr="00A43D96">
        <w:rPr>
          <w:sz w:val="28"/>
          <w:szCs w:val="28"/>
        </w:rPr>
        <w:t>%;</w:t>
      </w:r>
    </w:p>
    <w:p w:rsidR="00556FBA" w:rsidRDefault="00556FBA" w:rsidP="00556FBA">
      <w:pPr>
        <w:jc w:val="both"/>
        <w:rPr>
          <w:sz w:val="28"/>
          <w:szCs w:val="28"/>
        </w:rPr>
      </w:pPr>
      <w:r w:rsidRPr="00A43D96">
        <w:rPr>
          <w:sz w:val="28"/>
          <w:szCs w:val="28"/>
        </w:rPr>
        <w:t xml:space="preserve">- доход от </w:t>
      </w:r>
      <w:r>
        <w:rPr>
          <w:sz w:val="28"/>
          <w:szCs w:val="28"/>
        </w:rPr>
        <w:t xml:space="preserve">использования имущества, находящегося в государственной и муниципальной собственности </w:t>
      </w:r>
      <w:r w:rsidRPr="00A43D96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40515,0</w:t>
      </w:r>
      <w:r w:rsidRPr="00A43D96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на 45,2%</w:t>
      </w:r>
      <w:r w:rsidRPr="00A43D96">
        <w:rPr>
          <w:sz w:val="28"/>
          <w:szCs w:val="28"/>
        </w:rPr>
        <w:t>;</w:t>
      </w:r>
    </w:p>
    <w:p w:rsidR="00556FBA" w:rsidRDefault="00556FBA" w:rsidP="00556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платежи при пользовании природными ресурсами </w:t>
      </w:r>
      <w:r w:rsidRPr="00A43D96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100,0</w:t>
      </w:r>
      <w:r w:rsidRPr="00A43D96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на 16,7%;</w:t>
      </w:r>
    </w:p>
    <w:p w:rsidR="00556FBA" w:rsidRDefault="00556FBA" w:rsidP="00556FBA">
      <w:pPr>
        <w:jc w:val="both"/>
        <w:rPr>
          <w:sz w:val="28"/>
          <w:szCs w:val="28"/>
        </w:rPr>
      </w:pPr>
      <w:r>
        <w:rPr>
          <w:sz w:val="28"/>
          <w:szCs w:val="28"/>
        </w:rPr>
        <w:t>- штрафы, санкции, возмещение ущерба на сумму 4000,0 тыс. руб. или на 17,4%;</w:t>
      </w:r>
    </w:p>
    <w:p w:rsidR="00556FBA" w:rsidRDefault="00556FBA" w:rsidP="00556FB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неналоговые доходы на сумму 7800,0 тыс. руб. или в 157 раз;</w:t>
      </w:r>
    </w:p>
    <w:p w:rsidR="00556FBA" w:rsidRDefault="00556FBA" w:rsidP="00556FBA">
      <w:pPr>
        <w:jc w:val="both"/>
        <w:rPr>
          <w:sz w:val="28"/>
          <w:szCs w:val="28"/>
        </w:rPr>
      </w:pPr>
      <w:r w:rsidRPr="00A43D96">
        <w:rPr>
          <w:sz w:val="28"/>
          <w:szCs w:val="28"/>
        </w:rPr>
        <w:t xml:space="preserve">- безвозмездных поступлений от других бюджетов бюджетной системы Российской Федерации на сумму </w:t>
      </w:r>
      <w:r>
        <w:rPr>
          <w:sz w:val="28"/>
          <w:szCs w:val="28"/>
        </w:rPr>
        <w:t>74581</w:t>
      </w:r>
      <w:r w:rsidRPr="00A43D96">
        <w:rPr>
          <w:sz w:val="28"/>
          <w:szCs w:val="28"/>
        </w:rPr>
        <w:t xml:space="preserve">,0 тыс. руб. или на </w:t>
      </w:r>
      <w:r>
        <w:rPr>
          <w:sz w:val="28"/>
          <w:szCs w:val="28"/>
        </w:rPr>
        <w:t>55,2</w:t>
      </w:r>
      <w:r w:rsidRPr="00A43D96">
        <w:rPr>
          <w:sz w:val="28"/>
          <w:szCs w:val="28"/>
        </w:rPr>
        <w:t>%.</w:t>
      </w:r>
    </w:p>
    <w:p w:rsidR="0061329F" w:rsidRPr="0061329F" w:rsidRDefault="0061329F" w:rsidP="00410812">
      <w:pPr>
        <w:pStyle w:val="afd"/>
        <w:numPr>
          <w:ilvl w:val="0"/>
          <w:numId w:val="3"/>
        </w:numPr>
        <w:spacing w:after="0"/>
        <w:ind w:left="924" w:hanging="357"/>
        <w:jc w:val="both"/>
        <w:rPr>
          <w:rFonts w:ascii="Times New Roman" w:hAnsi="Times New Roman"/>
          <w:sz w:val="28"/>
          <w:szCs w:val="28"/>
          <w:u w:val="single"/>
        </w:rPr>
      </w:pPr>
      <w:r w:rsidRPr="0061329F">
        <w:rPr>
          <w:rFonts w:ascii="Times New Roman" w:hAnsi="Times New Roman"/>
          <w:sz w:val="28"/>
          <w:szCs w:val="28"/>
          <w:u w:val="single"/>
        </w:rPr>
        <w:t xml:space="preserve">В части </w:t>
      </w:r>
      <w:r>
        <w:rPr>
          <w:rFonts w:ascii="Times New Roman" w:hAnsi="Times New Roman"/>
          <w:sz w:val="28"/>
          <w:szCs w:val="28"/>
          <w:u w:val="single"/>
        </w:rPr>
        <w:t>уменьшения</w:t>
      </w:r>
      <w:r w:rsidRPr="0061329F">
        <w:rPr>
          <w:rFonts w:ascii="Times New Roman" w:hAnsi="Times New Roman"/>
          <w:sz w:val="28"/>
          <w:szCs w:val="28"/>
          <w:u w:val="single"/>
        </w:rPr>
        <w:t>:</w:t>
      </w:r>
    </w:p>
    <w:p w:rsidR="0061329F" w:rsidRDefault="0061329F" w:rsidP="00556FBA">
      <w:pPr>
        <w:jc w:val="both"/>
        <w:rPr>
          <w:sz w:val="28"/>
          <w:szCs w:val="28"/>
        </w:rPr>
      </w:pPr>
      <w:r w:rsidRPr="00A43D96">
        <w:rPr>
          <w:sz w:val="28"/>
          <w:szCs w:val="28"/>
        </w:rPr>
        <w:t xml:space="preserve">- доход от продажи материальных и нематериальных активов на сумму </w:t>
      </w:r>
      <w:r>
        <w:rPr>
          <w:sz w:val="28"/>
          <w:szCs w:val="28"/>
        </w:rPr>
        <w:t>125605</w:t>
      </w:r>
      <w:r w:rsidRPr="00A43D96">
        <w:rPr>
          <w:sz w:val="28"/>
          <w:szCs w:val="28"/>
        </w:rPr>
        <w:t xml:space="preserve">,0 тыс. руб. или </w:t>
      </w:r>
      <w:r>
        <w:rPr>
          <w:sz w:val="28"/>
          <w:szCs w:val="28"/>
        </w:rPr>
        <w:t>на 76,2%</w:t>
      </w:r>
      <w:r w:rsidRPr="00A43D96">
        <w:rPr>
          <w:sz w:val="28"/>
          <w:szCs w:val="28"/>
        </w:rPr>
        <w:t>;</w:t>
      </w:r>
    </w:p>
    <w:p w:rsidR="0061329F" w:rsidRDefault="0061329F" w:rsidP="0061329F">
      <w:pPr>
        <w:jc w:val="both"/>
        <w:rPr>
          <w:sz w:val="28"/>
          <w:szCs w:val="28"/>
        </w:rPr>
      </w:pPr>
      <w:r w:rsidRPr="00A43D96">
        <w:rPr>
          <w:sz w:val="28"/>
          <w:szCs w:val="28"/>
        </w:rPr>
        <w:t xml:space="preserve">- </w:t>
      </w:r>
      <w:r>
        <w:rPr>
          <w:sz w:val="28"/>
          <w:szCs w:val="28"/>
        </w:rPr>
        <w:t>государственная пошлина</w:t>
      </w:r>
      <w:r w:rsidRPr="00A43D96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300</w:t>
      </w:r>
      <w:r w:rsidRPr="00A43D96">
        <w:rPr>
          <w:sz w:val="28"/>
          <w:szCs w:val="28"/>
        </w:rPr>
        <w:t xml:space="preserve">,0 тыс. руб. или </w:t>
      </w:r>
      <w:r>
        <w:rPr>
          <w:sz w:val="28"/>
          <w:szCs w:val="28"/>
        </w:rPr>
        <w:t>на 42,9%</w:t>
      </w:r>
      <w:r w:rsidRPr="00A43D96">
        <w:rPr>
          <w:sz w:val="28"/>
          <w:szCs w:val="28"/>
        </w:rPr>
        <w:t>;</w:t>
      </w:r>
    </w:p>
    <w:p w:rsidR="0061329F" w:rsidRDefault="0061329F" w:rsidP="0061329F">
      <w:pPr>
        <w:jc w:val="both"/>
        <w:rPr>
          <w:sz w:val="28"/>
          <w:szCs w:val="28"/>
        </w:rPr>
      </w:pPr>
      <w:r w:rsidRPr="00A43D96">
        <w:rPr>
          <w:sz w:val="28"/>
          <w:szCs w:val="28"/>
        </w:rPr>
        <w:t xml:space="preserve">- </w:t>
      </w:r>
      <w:r>
        <w:rPr>
          <w:sz w:val="28"/>
          <w:szCs w:val="28"/>
        </w:rPr>
        <w:t>налог на совокупный доход</w:t>
      </w:r>
      <w:r w:rsidRPr="00A43D96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9030</w:t>
      </w:r>
      <w:r w:rsidRPr="00A43D96">
        <w:rPr>
          <w:sz w:val="28"/>
          <w:szCs w:val="28"/>
        </w:rPr>
        <w:t xml:space="preserve">,0 тыс. руб. или </w:t>
      </w:r>
      <w:r>
        <w:rPr>
          <w:sz w:val="28"/>
          <w:szCs w:val="28"/>
        </w:rPr>
        <w:t>на 7,5%.</w:t>
      </w:r>
    </w:p>
    <w:p w:rsidR="00140317" w:rsidRDefault="00140317" w:rsidP="00140317">
      <w:pPr>
        <w:ind w:firstLine="540"/>
        <w:contextualSpacing/>
        <w:jc w:val="both"/>
        <w:rPr>
          <w:sz w:val="28"/>
          <w:szCs w:val="28"/>
        </w:rPr>
      </w:pPr>
      <w:r w:rsidRPr="003A15D2">
        <w:rPr>
          <w:sz w:val="28"/>
          <w:szCs w:val="28"/>
        </w:rPr>
        <w:t>Доходы бюджета городского округа Котельники Московской области образуются за счет налоговых и неналоговых доходов и безвозмездных поступлений.</w:t>
      </w:r>
    </w:p>
    <w:p w:rsidR="00140317" w:rsidRDefault="00140317" w:rsidP="00140317">
      <w:pPr>
        <w:ind w:firstLine="540"/>
        <w:contextualSpacing/>
        <w:jc w:val="both"/>
        <w:rPr>
          <w:sz w:val="28"/>
          <w:szCs w:val="28"/>
        </w:rPr>
      </w:pPr>
      <w:r w:rsidRPr="003A15D2">
        <w:rPr>
          <w:sz w:val="28"/>
          <w:szCs w:val="28"/>
        </w:rPr>
        <w:t xml:space="preserve">Общая сумма доходов поступивших в бюджет городского округа Котельники за 2013 год составила </w:t>
      </w:r>
      <w:r>
        <w:rPr>
          <w:sz w:val="28"/>
          <w:szCs w:val="28"/>
        </w:rPr>
        <w:t>1127764</w:t>
      </w:r>
      <w:r w:rsidRPr="003A15D2">
        <w:rPr>
          <w:sz w:val="28"/>
          <w:szCs w:val="28"/>
        </w:rPr>
        <w:t xml:space="preserve">,00 тыс. рублей, что больше на </w:t>
      </w:r>
      <w:r w:rsidR="005A4587">
        <w:rPr>
          <w:sz w:val="28"/>
          <w:szCs w:val="28"/>
        </w:rPr>
        <w:t>178347</w:t>
      </w:r>
      <w:r w:rsidRPr="003A15D2">
        <w:rPr>
          <w:sz w:val="28"/>
          <w:szCs w:val="28"/>
        </w:rPr>
        <w:t xml:space="preserve">,00 тыс. рублей </w:t>
      </w:r>
      <w:r w:rsidR="005A4587">
        <w:rPr>
          <w:sz w:val="28"/>
          <w:szCs w:val="28"/>
        </w:rPr>
        <w:t xml:space="preserve">(118,8%) </w:t>
      </w:r>
      <w:r w:rsidRPr="003A15D2">
        <w:rPr>
          <w:sz w:val="28"/>
          <w:szCs w:val="28"/>
        </w:rPr>
        <w:t xml:space="preserve">по сравнению с </w:t>
      </w:r>
      <w:r>
        <w:rPr>
          <w:sz w:val="28"/>
          <w:szCs w:val="28"/>
        </w:rPr>
        <w:t>2012</w:t>
      </w:r>
      <w:r w:rsidRPr="003A15D2">
        <w:rPr>
          <w:sz w:val="28"/>
          <w:szCs w:val="28"/>
        </w:rPr>
        <w:t xml:space="preserve"> год</w:t>
      </w:r>
      <w:r>
        <w:rPr>
          <w:sz w:val="28"/>
          <w:szCs w:val="28"/>
        </w:rPr>
        <w:t>ом</w:t>
      </w:r>
      <w:r w:rsidRPr="003A15D2">
        <w:rPr>
          <w:sz w:val="28"/>
          <w:szCs w:val="28"/>
        </w:rPr>
        <w:t>.</w:t>
      </w:r>
    </w:p>
    <w:p w:rsidR="00F53831" w:rsidRDefault="00F53831" w:rsidP="00140317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доходной части бюджета в разрезе кварталов 2013 года</w:t>
      </w:r>
      <w:r w:rsidR="0006609E">
        <w:rPr>
          <w:sz w:val="28"/>
          <w:szCs w:val="28"/>
        </w:rPr>
        <w:t xml:space="preserve"> приведен в диаграмме</w:t>
      </w:r>
      <w:r w:rsidR="00BC4820">
        <w:rPr>
          <w:sz w:val="28"/>
          <w:szCs w:val="28"/>
        </w:rPr>
        <w:t>:</w:t>
      </w:r>
    </w:p>
    <w:p w:rsidR="00BC4820" w:rsidRDefault="007061B2" w:rsidP="0006609E">
      <w:pPr>
        <w:contextualSpacing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49D2F3F" wp14:editId="6D2A5209">
            <wp:extent cx="5762625" cy="3105150"/>
            <wp:effectExtent l="0" t="0" r="95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6553" w:rsidRDefault="00956553" w:rsidP="0006609E">
      <w:pPr>
        <w:contextualSpacing/>
        <w:jc w:val="both"/>
        <w:rPr>
          <w:sz w:val="28"/>
          <w:szCs w:val="28"/>
        </w:rPr>
      </w:pPr>
    </w:p>
    <w:p w:rsidR="0006609E" w:rsidRDefault="0006609E" w:rsidP="0006609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 </w:t>
      </w:r>
      <w:r>
        <w:rPr>
          <w:sz w:val="28"/>
          <w:szCs w:val="28"/>
          <w:lang w:val="en-US"/>
        </w:rPr>
        <w:t>I</w:t>
      </w:r>
      <w:r w:rsidRPr="00F5383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2013 года объем доходов, поступивших в бюджет городского округа,  составил 231039,0 тыс. руб. или 20,5% от общей годовой суммы поступивших доходов;</w:t>
      </w:r>
    </w:p>
    <w:p w:rsidR="0006609E" w:rsidRPr="00F53831" w:rsidRDefault="0006609E" w:rsidP="00066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>
        <w:rPr>
          <w:sz w:val="28"/>
          <w:szCs w:val="28"/>
          <w:lang w:val="en-US"/>
        </w:rPr>
        <w:t>II</w:t>
      </w:r>
      <w:r w:rsidRPr="00F5383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2013 года объем доходов, поступивших в бюджет городского округа,  составил 288126,0 тыс. руб. или 25,6% от общей годовой суммы поступивших доходов;</w:t>
      </w:r>
    </w:p>
    <w:p w:rsidR="0006609E" w:rsidRPr="00F53831" w:rsidRDefault="0006609E" w:rsidP="00066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>
        <w:rPr>
          <w:sz w:val="28"/>
          <w:szCs w:val="28"/>
          <w:lang w:val="en-US"/>
        </w:rPr>
        <w:t>III</w:t>
      </w:r>
      <w:r w:rsidRPr="00F5383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2013 года объем доходов, поступивших в бюджет городского округа,  составил 246284,0 тыс. руб. или 21,8% от общей годовой суммы поступивших доходов;</w:t>
      </w:r>
    </w:p>
    <w:p w:rsidR="00B676A4" w:rsidRDefault="0006609E" w:rsidP="00B67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>
        <w:rPr>
          <w:sz w:val="28"/>
          <w:szCs w:val="28"/>
          <w:lang w:val="en-US"/>
        </w:rPr>
        <w:t>IV</w:t>
      </w:r>
      <w:r w:rsidRPr="0006609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2013 года объем доходов, поступивших в бюджет городского округа,  составил 362315,0 тыс. руб. или 32,</w:t>
      </w:r>
      <w:r w:rsidR="00AA3550">
        <w:rPr>
          <w:sz w:val="28"/>
          <w:szCs w:val="28"/>
        </w:rPr>
        <w:t>2</w:t>
      </w:r>
      <w:r>
        <w:rPr>
          <w:sz w:val="28"/>
          <w:szCs w:val="28"/>
        </w:rPr>
        <w:t>% от общей годовой суммы поступивших доходов.</w:t>
      </w:r>
    </w:p>
    <w:p w:rsidR="00140317" w:rsidRDefault="00140317" w:rsidP="00140317">
      <w:pPr>
        <w:ind w:firstLine="540"/>
        <w:jc w:val="both"/>
        <w:rPr>
          <w:sz w:val="28"/>
          <w:szCs w:val="28"/>
        </w:rPr>
      </w:pPr>
      <w:r w:rsidRPr="003A15D2">
        <w:rPr>
          <w:sz w:val="28"/>
          <w:szCs w:val="28"/>
        </w:rPr>
        <w:t>Структура и анализ исполнени</w:t>
      </w:r>
      <w:r>
        <w:rPr>
          <w:sz w:val="28"/>
          <w:szCs w:val="28"/>
        </w:rPr>
        <w:t>я</w:t>
      </w:r>
      <w:r w:rsidRPr="003A15D2">
        <w:rPr>
          <w:sz w:val="28"/>
          <w:szCs w:val="28"/>
        </w:rPr>
        <w:t xml:space="preserve"> доходов бюджета за 2013 год приведены в таблице:</w:t>
      </w:r>
    </w:p>
    <w:p w:rsidR="00EF4FFC" w:rsidRDefault="00EF4FFC" w:rsidP="00140317">
      <w:pPr>
        <w:jc w:val="right"/>
      </w:pPr>
      <w:r w:rsidRPr="00EF4FFC">
        <w:t>тыс. руб.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709"/>
        <w:gridCol w:w="992"/>
        <w:gridCol w:w="709"/>
        <w:gridCol w:w="1134"/>
        <w:gridCol w:w="708"/>
      </w:tblGrid>
      <w:tr w:rsidR="005A4587" w:rsidTr="00904CC5">
        <w:trPr>
          <w:trHeight w:val="27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доходных источников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Исполнение за 2012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Первоначальный план на 2013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Уточненный план на 2013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Исполнение за 2013 год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Отклонение исполнения </w:t>
            </w:r>
          </w:p>
        </w:tc>
      </w:tr>
      <w:tr w:rsidR="005A4587" w:rsidTr="00904CC5">
        <w:trPr>
          <w:trHeight w:val="395"/>
        </w:trPr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 показателям 2012 года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 первоначальному плану 2013 года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 уточненному плану 2013 года</w:t>
            </w:r>
          </w:p>
        </w:tc>
      </w:tr>
      <w:tr w:rsidR="005A4587" w:rsidTr="00904CC5">
        <w:trPr>
          <w:trHeight w:val="246"/>
        </w:trPr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%/раз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%/раз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%/раз</w:t>
            </w:r>
          </w:p>
        </w:tc>
      </w:tr>
      <w:tr w:rsidR="005A4587" w:rsidTr="00904CC5">
        <w:trPr>
          <w:trHeight w:val="123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587" w:rsidRDefault="005A4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5A4587" w:rsidTr="005A4587">
        <w:trPr>
          <w:trHeight w:val="801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 w:rsidP="00904CC5">
            <w:pPr>
              <w:ind w:left="-108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Налоговые доходы и неналоговые доходы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i/>
                <w:iCs/>
                <w:color w:val="000000"/>
                <w:sz w:val="18"/>
                <w:szCs w:val="18"/>
              </w:rPr>
              <w:t>739818,0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i/>
                <w:iCs/>
                <w:color w:val="000000"/>
                <w:sz w:val="18"/>
                <w:szCs w:val="18"/>
              </w:rPr>
              <w:t>982506,0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i/>
                <w:iCs/>
                <w:color w:val="000000"/>
                <w:sz w:val="18"/>
                <w:szCs w:val="18"/>
              </w:rPr>
              <w:t>950082,0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i/>
                <w:iCs/>
                <w:color w:val="000000"/>
                <w:sz w:val="18"/>
                <w:szCs w:val="18"/>
              </w:rPr>
              <w:t>947712,0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i/>
                <w:iCs/>
                <w:color w:val="000000"/>
                <w:sz w:val="18"/>
                <w:szCs w:val="18"/>
              </w:rPr>
              <w:t>207894,0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i/>
                <w:iCs/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i/>
                <w:iCs/>
                <w:color w:val="000000"/>
                <w:sz w:val="18"/>
                <w:szCs w:val="18"/>
              </w:rPr>
              <w:t>-34794,0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i/>
                <w:iCs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i/>
                <w:iCs/>
                <w:color w:val="000000"/>
                <w:sz w:val="18"/>
                <w:szCs w:val="18"/>
              </w:rPr>
              <w:t>-2370,0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99,8</w:t>
            </w:r>
          </w:p>
        </w:tc>
      </w:tr>
      <w:tr w:rsidR="005A4587" w:rsidTr="005A4587">
        <w:trPr>
          <w:trHeight w:val="529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 w:rsidP="00904CC5">
            <w:pPr>
              <w:ind w:left="-108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Налог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327600,0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415300,0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454647,0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445372,0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117772,0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30072,0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-9275,0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98,0</w:t>
            </w:r>
          </w:p>
        </w:tc>
      </w:tr>
      <w:tr w:rsidR="005A4587" w:rsidTr="005A4587">
        <w:trPr>
          <w:trHeight w:val="594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 w:rsidP="00904CC5">
            <w:pPr>
              <w:ind w:left="-108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49791,0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121000,0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111970,0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113533,0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63742,0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в 2,3 раза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-7467,0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1563,0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101,4</w:t>
            </w:r>
          </w:p>
        </w:tc>
      </w:tr>
      <w:tr w:rsidR="005A4587" w:rsidTr="005A4587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 w:rsidP="00904CC5">
            <w:pPr>
              <w:ind w:left="-108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114711,0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167451,0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178200,0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180145,0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65434,0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12694,0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1945,0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101,1</w:t>
            </w:r>
          </w:p>
        </w:tc>
      </w:tr>
      <w:tr w:rsidR="005A4587" w:rsidTr="00904CC5">
        <w:trPr>
          <w:trHeight w:val="351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 w:rsidP="00904CC5">
            <w:pPr>
              <w:ind w:left="-108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 xml:space="preserve">Государственная пошлина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877,0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-477,0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-300,0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A4587" w:rsidTr="00904CC5">
        <w:trPr>
          <w:trHeight w:val="134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0427F7" w:rsidP="00904CC5">
            <w:pPr>
              <w:ind w:left="-108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Задолженность</w:t>
            </w:r>
            <w:r w:rsidR="005A4587" w:rsidRPr="00012015">
              <w:rPr>
                <w:color w:val="000000"/>
                <w:sz w:val="18"/>
                <w:szCs w:val="18"/>
              </w:rPr>
              <w:t xml:space="preserve"> и перерасчеты по отмененным налогам, сборам и иным </w:t>
            </w:r>
            <w:proofErr w:type="spellStart"/>
            <w:r w:rsidR="005A4587" w:rsidRPr="00012015">
              <w:rPr>
                <w:color w:val="000000"/>
                <w:sz w:val="18"/>
                <w:szCs w:val="18"/>
              </w:rPr>
              <w:t>обяз</w:t>
            </w:r>
            <w:proofErr w:type="spellEnd"/>
            <w:r w:rsidR="005A4587" w:rsidRPr="00012015">
              <w:rPr>
                <w:color w:val="000000"/>
                <w:sz w:val="18"/>
                <w:szCs w:val="18"/>
              </w:rPr>
              <w:t>. плат.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-1196,0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1214,0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6B5971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-1,5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х</w:t>
            </w:r>
          </w:p>
        </w:tc>
      </w:tr>
      <w:tr w:rsidR="005A4587" w:rsidTr="00904CC5">
        <w:trPr>
          <w:trHeight w:val="10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 w:rsidP="00904CC5">
            <w:pPr>
              <w:ind w:left="-108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 xml:space="preserve">Доходы от использования имущества, находящегося в </w:t>
            </w:r>
            <w:proofErr w:type="spellStart"/>
            <w:r w:rsidRPr="00012015">
              <w:rPr>
                <w:color w:val="000000"/>
                <w:sz w:val="18"/>
                <w:szCs w:val="18"/>
              </w:rPr>
              <w:t>мун</w:t>
            </w:r>
            <w:proofErr w:type="spellEnd"/>
            <w:r w:rsidRPr="00012015">
              <w:rPr>
                <w:color w:val="000000"/>
                <w:sz w:val="18"/>
                <w:szCs w:val="18"/>
              </w:rPr>
              <w:t>.</w:t>
            </w:r>
            <w:r w:rsidR="000427F7" w:rsidRPr="00012015">
              <w:rPr>
                <w:color w:val="000000"/>
                <w:sz w:val="18"/>
                <w:szCs w:val="18"/>
              </w:rPr>
              <w:t xml:space="preserve"> </w:t>
            </w:r>
            <w:r w:rsidRPr="00012015">
              <w:rPr>
                <w:color w:val="000000"/>
                <w:sz w:val="18"/>
                <w:szCs w:val="18"/>
              </w:rPr>
              <w:t>собств.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93332,0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89600,0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130115,0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130593,0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37261,0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40993,0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478,0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100,4</w:t>
            </w:r>
          </w:p>
        </w:tc>
      </w:tr>
      <w:tr w:rsidR="005A4587" w:rsidTr="00904CC5">
        <w:trPr>
          <w:trHeight w:val="8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 w:rsidP="00904CC5">
            <w:pPr>
              <w:ind w:left="-108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Платежи при использовании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105,9</w:t>
            </w:r>
          </w:p>
        </w:tc>
      </w:tr>
      <w:tr w:rsidR="005A4587" w:rsidTr="0006609E">
        <w:trPr>
          <w:trHeight w:val="12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 w:rsidP="00904CC5">
            <w:pPr>
              <w:ind w:left="-108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126997,0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164805,0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39200,0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39310,0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-87687,0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-125495,0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100,3</w:t>
            </w:r>
          </w:p>
        </w:tc>
      </w:tr>
      <w:tr w:rsidR="005A4587" w:rsidTr="0006609E">
        <w:trPr>
          <w:trHeight w:val="6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 w:rsidP="00904CC5">
            <w:pPr>
              <w:ind w:left="-108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lastRenderedPageBreak/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26925,0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27000,0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28410,0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1485,0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5410,0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1410,0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105,2</w:t>
            </w:r>
          </w:p>
        </w:tc>
      </w:tr>
      <w:tr w:rsidR="005A4587" w:rsidTr="00B676A4">
        <w:trPr>
          <w:trHeight w:val="55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 w:rsidP="00904CC5">
            <w:pPr>
              <w:ind w:left="-108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7850,0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9190,0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8969,0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в 41,6 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9140,0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в 183,8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1340,0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117,1</w:t>
            </w:r>
          </w:p>
        </w:tc>
      </w:tr>
      <w:tr w:rsidR="005A4587" w:rsidTr="00B676A4">
        <w:trPr>
          <w:trHeight w:val="6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 w:rsidP="00904CC5">
            <w:pPr>
              <w:ind w:left="-108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i/>
                <w:iCs/>
                <w:color w:val="000000"/>
                <w:sz w:val="18"/>
                <w:szCs w:val="18"/>
              </w:rPr>
              <w:t>209599,0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i/>
                <w:iCs/>
                <w:color w:val="000000"/>
                <w:sz w:val="18"/>
                <w:szCs w:val="18"/>
              </w:rPr>
              <w:t>135125,0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i/>
                <w:iCs/>
                <w:color w:val="000000"/>
                <w:sz w:val="18"/>
                <w:szCs w:val="18"/>
              </w:rPr>
              <w:t>207468,2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i/>
                <w:iCs/>
                <w:color w:val="000000"/>
                <w:sz w:val="18"/>
                <w:szCs w:val="18"/>
              </w:rPr>
              <w:t>180052,0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i/>
                <w:iCs/>
                <w:color w:val="000000"/>
                <w:sz w:val="18"/>
                <w:szCs w:val="18"/>
              </w:rPr>
              <w:t>-29547,0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i/>
                <w:iCs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i/>
                <w:iCs/>
                <w:color w:val="000000"/>
                <w:sz w:val="18"/>
                <w:szCs w:val="18"/>
              </w:rPr>
              <w:t>44927,0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i/>
                <w:iCs/>
                <w:color w:val="000000"/>
                <w:sz w:val="18"/>
                <w:szCs w:val="18"/>
              </w:rPr>
              <w:t>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i/>
                <w:iCs/>
                <w:color w:val="000000"/>
                <w:sz w:val="18"/>
                <w:szCs w:val="18"/>
              </w:rPr>
              <w:t>-27416,2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i/>
                <w:iCs/>
                <w:color w:val="000000"/>
                <w:sz w:val="18"/>
                <w:szCs w:val="18"/>
              </w:rPr>
              <w:t>86,9</w:t>
            </w:r>
          </w:p>
        </w:tc>
      </w:tr>
      <w:tr w:rsidR="005A4587" w:rsidTr="00904CC5">
        <w:trPr>
          <w:trHeight w:val="12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 w:rsidP="00904CC5">
            <w:pPr>
              <w:ind w:left="-108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209280,0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135125,0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209706,2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182290,0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-26990,0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47165,0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-27416,2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86,9</w:t>
            </w:r>
          </w:p>
        </w:tc>
      </w:tr>
      <w:tr w:rsidR="005A4587" w:rsidTr="00904CC5">
        <w:trPr>
          <w:trHeight w:val="5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 w:rsidP="00904CC5">
            <w:pPr>
              <w:ind w:left="-108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 xml:space="preserve">Прочие безвозмездные </w:t>
            </w:r>
            <w:r w:rsidR="006B5971" w:rsidRPr="00012015">
              <w:rPr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-150,0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6B5971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A4587" w:rsidTr="005A4587">
        <w:trPr>
          <w:trHeight w:val="238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 w:rsidP="00904CC5">
            <w:pPr>
              <w:ind w:left="-108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-131,0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-2538,0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-2538,0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-2407,0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085A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в 19,4 раза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-2538,0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87" w:rsidRPr="00012015" w:rsidRDefault="005A4587">
            <w:pPr>
              <w:jc w:val="right"/>
              <w:rPr>
                <w:color w:val="000000"/>
                <w:sz w:val="18"/>
                <w:szCs w:val="18"/>
              </w:rPr>
            </w:pPr>
            <w:r w:rsidRPr="0001201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A4587" w:rsidTr="005A4587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4587" w:rsidRPr="00012015" w:rsidRDefault="005A4587" w:rsidP="00904CC5">
            <w:pPr>
              <w:ind w:left="-108"/>
              <w:rPr>
                <w:b/>
                <w:b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12015">
              <w:rPr>
                <w:b/>
                <w:color w:val="000000"/>
                <w:sz w:val="18"/>
                <w:szCs w:val="18"/>
              </w:rPr>
              <w:t>949417,0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color w:val="000000"/>
                <w:sz w:val="18"/>
                <w:szCs w:val="18"/>
              </w:rPr>
              <w:t>1117631,0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color w:val="000000"/>
                <w:sz w:val="18"/>
                <w:szCs w:val="18"/>
              </w:rPr>
              <w:t>1157550,2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color w:val="000000"/>
                <w:sz w:val="18"/>
                <w:szCs w:val="18"/>
              </w:rPr>
              <w:t>1127764,0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color w:val="000000"/>
                <w:sz w:val="18"/>
                <w:szCs w:val="18"/>
              </w:rPr>
              <w:t>178347,0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color w:val="000000"/>
                <w:sz w:val="18"/>
                <w:szCs w:val="18"/>
              </w:rPr>
              <w:t>10133,0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color w:val="000000"/>
                <w:sz w:val="18"/>
                <w:szCs w:val="18"/>
              </w:rPr>
              <w:t>-29786,2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4587" w:rsidRPr="00012015" w:rsidRDefault="005A45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2015">
              <w:rPr>
                <w:b/>
                <w:bCs/>
                <w:color w:val="000000"/>
                <w:sz w:val="18"/>
                <w:szCs w:val="18"/>
              </w:rPr>
              <w:t>97,4</w:t>
            </w:r>
          </w:p>
        </w:tc>
      </w:tr>
    </w:tbl>
    <w:p w:rsidR="0006609E" w:rsidRDefault="0006609E" w:rsidP="00B676A4">
      <w:pPr>
        <w:ind w:firstLine="540"/>
        <w:jc w:val="both"/>
        <w:rPr>
          <w:sz w:val="28"/>
          <w:szCs w:val="28"/>
        </w:rPr>
      </w:pPr>
    </w:p>
    <w:p w:rsidR="00D51B93" w:rsidRDefault="00B676A4" w:rsidP="00B676A4">
      <w:pPr>
        <w:ind w:firstLine="540"/>
        <w:jc w:val="both"/>
      </w:pPr>
      <w:r w:rsidRPr="00EF4FFC">
        <w:rPr>
          <w:sz w:val="28"/>
          <w:szCs w:val="28"/>
        </w:rPr>
        <w:t>Таким образом, по сравнению с первоначально утвержденными параметрами доходная часть бюджета городского округа в 201</w:t>
      </w:r>
      <w:r>
        <w:rPr>
          <w:sz w:val="28"/>
          <w:szCs w:val="28"/>
        </w:rPr>
        <w:t>3</w:t>
      </w:r>
      <w:r w:rsidRPr="00EF4FFC">
        <w:rPr>
          <w:sz w:val="28"/>
          <w:szCs w:val="28"/>
        </w:rPr>
        <w:t xml:space="preserve"> году выполнена на </w:t>
      </w:r>
      <w:r>
        <w:rPr>
          <w:sz w:val="28"/>
          <w:szCs w:val="28"/>
        </w:rPr>
        <w:t>100,9</w:t>
      </w:r>
      <w:r w:rsidRPr="00EF4FFC">
        <w:rPr>
          <w:sz w:val="28"/>
          <w:szCs w:val="28"/>
        </w:rPr>
        <w:t xml:space="preserve">%, а по сравнению с уточненным планом – выполнена на </w:t>
      </w:r>
      <w:r>
        <w:rPr>
          <w:sz w:val="28"/>
          <w:szCs w:val="28"/>
        </w:rPr>
        <w:t>97,4</w:t>
      </w:r>
      <w:r w:rsidRPr="00EF4FFC">
        <w:rPr>
          <w:sz w:val="28"/>
          <w:szCs w:val="28"/>
        </w:rPr>
        <w:t>%.</w:t>
      </w:r>
      <w:r w:rsidRPr="00EF4FFC">
        <w:t xml:space="preserve"> </w:t>
      </w:r>
    </w:p>
    <w:p w:rsidR="00B676A4" w:rsidRPr="00B676A4" w:rsidRDefault="00B676A4" w:rsidP="00B676A4">
      <w:pPr>
        <w:ind w:firstLine="540"/>
        <w:jc w:val="both"/>
        <w:rPr>
          <w:sz w:val="28"/>
          <w:szCs w:val="28"/>
        </w:rPr>
      </w:pPr>
      <w:r w:rsidRPr="00EF4FFC">
        <w:rPr>
          <w:b/>
          <w:sz w:val="28"/>
          <w:szCs w:val="28"/>
        </w:rPr>
        <w:t>Налоговые и неналоговые доходы</w:t>
      </w:r>
      <w:r w:rsidRPr="00EF4FFC">
        <w:rPr>
          <w:sz w:val="28"/>
          <w:szCs w:val="28"/>
        </w:rPr>
        <w:t xml:space="preserve">. </w:t>
      </w:r>
    </w:p>
    <w:p w:rsidR="00EF4FFC" w:rsidRDefault="00EF4FFC" w:rsidP="00EF4FFC">
      <w:pPr>
        <w:ind w:firstLine="540"/>
        <w:jc w:val="both"/>
        <w:rPr>
          <w:sz w:val="28"/>
          <w:szCs w:val="28"/>
        </w:rPr>
      </w:pPr>
      <w:r w:rsidRPr="00EF4FFC">
        <w:rPr>
          <w:sz w:val="28"/>
          <w:szCs w:val="28"/>
        </w:rPr>
        <w:t xml:space="preserve">В структуре доходов бюджета налоговые и неналоговые доходы составляют </w:t>
      </w:r>
      <w:r w:rsidR="0061329F">
        <w:rPr>
          <w:color w:val="000000"/>
          <w:sz w:val="28"/>
          <w:szCs w:val="28"/>
        </w:rPr>
        <w:t>84</w:t>
      </w:r>
      <w:r w:rsidRPr="00EF4FFC">
        <w:rPr>
          <w:color w:val="000000"/>
          <w:sz w:val="28"/>
          <w:szCs w:val="28"/>
        </w:rPr>
        <w:t>,0</w:t>
      </w:r>
      <w:r w:rsidR="0061329F">
        <w:rPr>
          <w:sz w:val="28"/>
          <w:szCs w:val="28"/>
        </w:rPr>
        <w:t xml:space="preserve">% </w:t>
      </w:r>
      <w:r w:rsidRPr="00EF4FFC">
        <w:rPr>
          <w:sz w:val="28"/>
          <w:szCs w:val="28"/>
        </w:rPr>
        <w:t>от общего объема полученных  доходов в 201</w:t>
      </w:r>
      <w:r w:rsidR="0061329F">
        <w:rPr>
          <w:sz w:val="28"/>
          <w:szCs w:val="28"/>
        </w:rPr>
        <w:t>3</w:t>
      </w:r>
      <w:r w:rsidRPr="00EF4FFC">
        <w:rPr>
          <w:sz w:val="28"/>
          <w:szCs w:val="28"/>
        </w:rPr>
        <w:t>г. (для сравнения: в 201</w:t>
      </w:r>
      <w:r w:rsidR="0061329F">
        <w:rPr>
          <w:sz w:val="28"/>
          <w:szCs w:val="28"/>
        </w:rPr>
        <w:t>2</w:t>
      </w:r>
      <w:r w:rsidRPr="00EF4FFC">
        <w:rPr>
          <w:sz w:val="28"/>
          <w:szCs w:val="28"/>
        </w:rPr>
        <w:t xml:space="preserve"> году этот показатель составлял </w:t>
      </w:r>
      <w:r w:rsidR="005A4587">
        <w:rPr>
          <w:sz w:val="28"/>
          <w:szCs w:val="28"/>
        </w:rPr>
        <w:t>–</w:t>
      </w:r>
      <w:r w:rsidRPr="00EF4FFC">
        <w:rPr>
          <w:sz w:val="28"/>
          <w:szCs w:val="28"/>
        </w:rPr>
        <w:t xml:space="preserve"> </w:t>
      </w:r>
      <w:r w:rsidR="0061329F">
        <w:rPr>
          <w:color w:val="000000"/>
          <w:sz w:val="28"/>
          <w:szCs w:val="28"/>
        </w:rPr>
        <w:t>7</w:t>
      </w:r>
      <w:r w:rsidR="005A4587">
        <w:rPr>
          <w:color w:val="000000"/>
          <w:sz w:val="28"/>
          <w:szCs w:val="28"/>
        </w:rPr>
        <w:t>8,0</w:t>
      </w:r>
      <w:r w:rsidRPr="00EF4FFC">
        <w:rPr>
          <w:sz w:val="28"/>
          <w:szCs w:val="28"/>
        </w:rPr>
        <w:t xml:space="preserve">%). Фактически исполнено </w:t>
      </w:r>
      <w:r w:rsidR="0061329F">
        <w:rPr>
          <w:sz w:val="28"/>
          <w:szCs w:val="28"/>
        </w:rPr>
        <w:t>947712</w:t>
      </w:r>
      <w:r w:rsidRPr="00EF4FFC">
        <w:rPr>
          <w:sz w:val="28"/>
          <w:szCs w:val="28"/>
        </w:rPr>
        <w:t xml:space="preserve">,0 тыс. руб. или </w:t>
      </w:r>
      <w:r w:rsidR="0061329F">
        <w:rPr>
          <w:sz w:val="28"/>
          <w:szCs w:val="28"/>
        </w:rPr>
        <w:t>99,8</w:t>
      </w:r>
      <w:r w:rsidRPr="00EF4FFC">
        <w:rPr>
          <w:sz w:val="28"/>
          <w:szCs w:val="28"/>
        </w:rPr>
        <w:t xml:space="preserve">% от уточненного плана – </w:t>
      </w:r>
      <w:r w:rsidR="0061329F">
        <w:rPr>
          <w:sz w:val="28"/>
          <w:szCs w:val="28"/>
        </w:rPr>
        <w:t>950082</w:t>
      </w:r>
      <w:r w:rsidRPr="00EF4FFC">
        <w:rPr>
          <w:sz w:val="28"/>
          <w:szCs w:val="28"/>
        </w:rPr>
        <w:t>,0 тыс. руб.</w:t>
      </w:r>
    </w:p>
    <w:p w:rsidR="00BC4820" w:rsidRDefault="00BC4820" w:rsidP="007061B2">
      <w:pPr>
        <w:ind w:hanging="993"/>
        <w:jc w:val="both"/>
        <w:rPr>
          <w:sz w:val="28"/>
          <w:szCs w:val="28"/>
        </w:rPr>
      </w:pPr>
    </w:p>
    <w:p w:rsidR="00AA3550" w:rsidRDefault="00AA3550" w:rsidP="00AA3550">
      <w:pPr>
        <w:ind w:hanging="993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0D35BFC" wp14:editId="277CBE25">
            <wp:extent cx="6772275" cy="40767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3550" w:rsidRDefault="00AA3550" w:rsidP="00EF4FFC">
      <w:pPr>
        <w:ind w:firstLine="540"/>
        <w:jc w:val="both"/>
        <w:rPr>
          <w:sz w:val="28"/>
          <w:szCs w:val="28"/>
        </w:rPr>
      </w:pPr>
    </w:p>
    <w:p w:rsidR="00EF4FFC" w:rsidRPr="00EF4FFC" w:rsidRDefault="00EF4FFC" w:rsidP="00EF4FFC">
      <w:pPr>
        <w:ind w:firstLine="540"/>
        <w:jc w:val="both"/>
        <w:rPr>
          <w:sz w:val="28"/>
          <w:szCs w:val="28"/>
        </w:rPr>
      </w:pPr>
      <w:r w:rsidRPr="00EF4FFC">
        <w:rPr>
          <w:sz w:val="28"/>
          <w:szCs w:val="28"/>
        </w:rPr>
        <w:t>Наибольший удельный вес в общей сумме исполнения за 201</w:t>
      </w:r>
      <w:r w:rsidR="00697CF2">
        <w:rPr>
          <w:sz w:val="28"/>
          <w:szCs w:val="28"/>
        </w:rPr>
        <w:t>3</w:t>
      </w:r>
      <w:r w:rsidRPr="00EF4FFC">
        <w:rPr>
          <w:sz w:val="28"/>
          <w:szCs w:val="28"/>
        </w:rPr>
        <w:t xml:space="preserve"> год налоговых и неналоговых доходов составля</w:t>
      </w:r>
      <w:r w:rsidR="00D51B93">
        <w:rPr>
          <w:sz w:val="28"/>
          <w:szCs w:val="28"/>
        </w:rPr>
        <w:t>ю</w:t>
      </w:r>
      <w:r w:rsidRPr="00EF4FFC">
        <w:rPr>
          <w:sz w:val="28"/>
          <w:szCs w:val="28"/>
        </w:rPr>
        <w:t>т:</w:t>
      </w:r>
    </w:p>
    <w:p w:rsidR="00640751" w:rsidRPr="00640751" w:rsidRDefault="00EF4FFC" w:rsidP="00640751">
      <w:pPr>
        <w:numPr>
          <w:ilvl w:val="0"/>
          <w:numId w:val="4"/>
        </w:numPr>
        <w:ind w:left="0" w:firstLine="540"/>
        <w:jc w:val="both"/>
        <w:rPr>
          <w:i/>
          <w:sz w:val="28"/>
          <w:szCs w:val="28"/>
        </w:rPr>
      </w:pPr>
      <w:proofErr w:type="gramStart"/>
      <w:r w:rsidRPr="00640751">
        <w:rPr>
          <w:sz w:val="28"/>
          <w:szCs w:val="28"/>
        </w:rPr>
        <w:t>налог</w:t>
      </w:r>
      <w:r w:rsidR="00D51B93">
        <w:rPr>
          <w:sz w:val="28"/>
          <w:szCs w:val="28"/>
        </w:rPr>
        <w:t>и</w:t>
      </w:r>
      <w:r w:rsidRPr="00640751">
        <w:rPr>
          <w:sz w:val="28"/>
          <w:szCs w:val="28"/>
        </w:rPr>
        <w:t xml:space="preserve"> на прибыль, доходы (налог на доходы физических лиц)  (</w:t>
      </w:r>
      <w:r w:rsidR="00640751" w:rsidRPr="00640751">
        <w:rPr>
          <w:sz w:val="28"/>
          <w:szCs w:val="28"/>
        </w:rPr>
        <w:t xml:space="preserve">47,0 % </w:t>
      </w:r>
      <w:r w:rsidRPr="00640751">
        <w:rPr>
          <w:sz w:val="28"/>
          <w:szCs w:val="28"/>
        </w:rPr>
        <w:t>от общего объема</w:t>
      </w:r>
      <w:r w:rsidR="00640751" w:rsidRPr="00640751">
        <w:rPr>
          <w:sz w:val="28"/>
          <w:szCs w:val="28"/>
        </w:rPr>
        <w:t xml:space="preserve"> годовых поступлений</w:t>
      </w:r>
      <w:r w:rsidRPr="00640751">
        <w:rPr>
          <w:sz w:val="28"/>
          <w:szCs w:val="28"/>
        </w:rPr>
        <w:t xml:space="preserve">), который при уточненном плане </w:t>
      </w:r>
      <w:r w:rsidR="00640751" w:rsidRPr="00640751">
        <w:rPr>
          <w:sz w:val="28"/>
          <w:szCs w:val="28"/>
        </w:rPr>
        <w:t>454647</w:t>
      </w:r>
      <w:r w:rsidRPr="00640751">
        <w:rPr>
          <w:sz w:val="28"/>
          <w:szCs w:val="28"/>
        </w:rPr>
        <w:t xml:space="preserve">,0 тыс. руб., выполнен  в сумме </w:t>
      </w:r>
      <w:r w:rsidR="00640751" w:rsidRPr="00640751">
        <w:rPr>
          <w:sz w:val="28"/>
          <w:szCs w:val="28"/>
        </w:rPr>
        <w:t>445372</w:t>
      </w:r>
      <w:r w:rsidRPr="00640751">
        <w:rPr>
          <w:sz w:val="28"/>
          <w:szCs w:val="28"/>
        </w:rPr>
        <w:t xml:space="preserve">,0 тыс. руб. или на </w:t>
      </w:r>
      <w:r w:rsidR="00640751" w:rsidRPr="00640751">
        <w:rPr>
          <w:sz w:val="28"/>
          <w:szCs w:val="28"/>
        </w:rPr>
        <w:t>98,0</w:t>
      </w:r>
      <w:r w:rsidRPr="00640751">
        <w:rPr>
          <w:sz w:val="28"/>
          <w:szCs w:val="28"/>
        </w:rPr>
        <w:t xml:space="preserve">%. </w:t>
      </w:r>
      <w:r w:rsidR="00640751" w:rsidRPr="00640751">
        <w:rPr>
          <w:sz w:val="28"/>
          <w:szCs w:val="28"/>
        </w:rPr>
        <w:t xml:space="preserve">Относительно 2012 года налог на прибыль, доходы увеличился на </w:t>
      </w:r>
      <w:r w:rsidR="00FA79DA">
        <w:rPr>
          <w:sz w:val="28"/>
          <w:szCs w:val="28"/>
        </w:rPr>
        <w:t>117772</w:t>
      </w:r>
      <w:r w:rsidR="00640751" w:rsidRPr="00640751">
        <w:rPr>
          <w:sz w:val="28"/>
          <w:szCs w:val="28"/>
        </w:rPr>
        <w:t xml:space="preserve">,0 тыс. руб. или </w:t>
      </w:r>
      <w:r w:rsidR="00FA79DA">
        <w:rPr>
          <w:sz w:val="28"/>
          <w:szCs w:val="28"/>
        </w:rPr>
        <w:t>135,9</w:t>
      </w:r>
      <w:r w:rsidR="00640751" w:rsidRPr="00640751">
        <w:rPr>
          <w:sz w:val="28"/>
          <w:szCs w:val="28"/>
        </w:rPr>
        <w:t>%</w:t>
      </w:r>
      <w:r w:rsidR="00640751">
        <w:rPr>
          <w:sz w:val="28"/>
          <w:szCs w:val="28"/>
        </w:rPr>
        <w:t>,</w:t>
      </w:r>
      <w:r w:rsidR="00640751" w:rsidRPr="00640751">
        <w:rPr>
          <w:sz w:val="28"/>
          <w:szCs w:val="28"/>
        </w:rPr>
        <w:t xml:space="preserve"> что обусловлено стратегией развития городского округа Котельники Московской области и коэффициент</w:t>
      </w:r>
      <w:r w:rsidR="00640751">
        <w:rPr>
          <w:sz w:val="28"/>
          <w:szCs w:val="28"/>
        </w:rPr>
        <w:t>ом роста фонда заработной платы.</w:t>
      </w:r>
      <w:proofErr w:type="gramEnd"/>
    </w:p>
    <w:p w:rsidR="00EF4FFC" w:rsidRDefault="00640751" w:rsidP="00640751">
      <w:pPr>
        <w:ind w:firstLine="540"/>
        <w:jc w:val="both"/>
        <w:rPr>
          <w:i/>
          <w:sz w:val="28"/>
          <w:szCs w:val="28"/>
        </w:rPr>
      </w:pPr>
      <w:r w:rsidRPr="00640751">
        <w:rPr>
          <w:i/>
          <w:sz w:val="28"/>
          <w:szCs w:val="28"/>
        </w:rPr>
        <w:t xml:space="preserve">Справочно: за 2012 год налог на прибыль, доходы составлял 44,3% от общего объема годовых поступлений. </w:t>
      </w:r>
    </w:p>
    <w:p w:rsidR="00D51B93" w:rsidRPr="00640751" w:rsidRDefault="00D51B93" w:rsidP="00D51B93">
      <w:pPr>
        <w:numPr>
          <w:ilvl w:val="0"/>
          <w:numId w:val="4"/>
        </w:numPr>
        <w:ind w:left="0" w:firstLine="54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D51B93">
        <w:rPr>
          <w:sz w:val="28"/>
          <w:szCs w:val="28"/>
        </w:rPr>
        <w:t>алоги на совокупный доход</w:t>
      </w:r>
      <w:r>
        <w:rPr>
          <w:sz w:val="28"/>
          <w:szCs w:val="28"/>
        </w:rPr>
        <w:t xml:space="preserve"> </w:t>
      </w:r>
      <w:r w:rsidRPr="00640751">
        <w:rPr>
          <w:sz w:val="28"/>
          <w:szCs w:val="28"/>
        </w:rPr>
        <w:t>(</w:t>
      </w:r>
      <w:r>
        <w:rPr>
          <w:sz w:val="28"/>
          <w:szCs w:val="28"/>
        </w:rPr>
        <w:t>12</w:t>
      </w:r>
      <w:r w:rsidRPr="00640751">
        <w:rPr>
          <w:sz w:val="28"/>
          <w:szCs w:val="28"/>
        </w:rPr>
        <w:t xml:space="preserve">,0% от общего объема годовых поступлений), который при уточненном плане </w:t>
      </w:r>
      <w:r>
        <w:rPr>
          <w:sz w:val="28"/>
          <w:szCs w:val="28"/>
        </w:rPr>
        <w:t>111970</w:t>
      </w:r>
      <w:r w:rsidRPr="00640751">
        <w:rPr>
          <w:sz w:val="28"/>
          <w:szCs w:val="28"/>
        </w:rPr>
        <w:t xml:space="preserve">,0 тыс. руб., выполнен  в сумме </w:t>
      </w:r>
      <w:r>
        <w:rPr>
          <w:sz w:val="28"/>
          <w:szCs w:val="28"/>
        </w:rPr>
        <w:t>113533</w:t>
      </w:r>
      <w:r w:rsidRPr="00640751">
        <w:rPr>
          <w:sz w:val="28"/>
          <w:szCs w:val="28"/>
        </w:rPr>
        <w:t xml:space="preserve">,0 тыс. руб. или на </w:t>
      </w:r>
      <w:r>
        <w:rPr>
          <w:sz w:val="28"/>
          <w:szCs w:val="28"/>
        </w:rPr>
        <w:t>101,4</w:t>
      </w:r>
      <w:r w:rsidRPr="00640751">
        <w:rPr>
          <w:sz w:val="28"/>
          <w:szCs w:val="28"/>
        </w:rPr>
        <w:t xml:space="preserve">%. Относительно 2012 года налог </w:t>
      </w:r>
      <w:r w:rsidRPr="00D51B93">
        <w:rPr>
          <w:sz w:val="28"/>
          <w:szCs w:val="28"/>
        </w:rPr>
        <w:t>на совокупный доход</w:t>
      </w:r>
      <w:r w:rsidRPr="00640751">
        <w:rPr>
          <w:sz w:val="28"/>
          <w:szCs w:val="28"/>
        </w:rPr>
        <w:t xml:space="preserve"> увеличился на </w:t>
      </w:r>
      <w:r w:rsidR="00FA79DA">
        <w:rPr>
          <w:sz w:val="28"/>
          <w:szCs w:val="28"/>
        </w:rPr>
        <w:t>63742</w:t>
      </w:r>
      <w:r w:rsidRPr="00640751">
        <w:rPr>
          <w:sz w:val="28"/>
          <w:szCs w:val="28"/>
        </w:rPr>
        <w:t xml:space="preserve">,0 тыс. руб. или </w:t>
      </w:r>
      <w:r>
        <w:rPr>
          <w:sz w:val="28"/>
          <w:szCs w:val="28"/>
        </w:rPr>
        <w:t>в 2,</w:t>
      </w:r>
      <w:r w:rsidR="00FA79DA">
        <w:rPr>
          <w:sz w:val="28"/>
          <w:szCs w:val="28"/>
        </w:rPr>
        <w:t>3</w:t>
      </w:r>
      <w:r>
        <w:rPr>
          <w:sz w:val="28"/>
          <w:szCs w:val="28"/>
        </w:rPr>
        <w:t xml:space="preserve"> раза,</w:t>
      </w:r>
      <w:r w:rsidRPr="00640751">
        <w:rPr>
          <w:sz w:val="28"/>
          <w:szCs w:val="28"/>
        </w:rPr>
        <w:t xml:space="preserve"> что обусловлено </w:t>
      </w:r>
      <w:r>
        <w:rPr>
          <w:sz w:val="28"/>
          <w:szCs w:val="28"/>
        </w:rPr>
        <w:t xml:space="preserve">передачей </w:t>
      </w:r>
      <w:r w:rsidR="00FA79DA">
        <w:rPr>
          <w:sz w:val="28"/>
          <w:szCs w:val="28"/>
        </w:rPr>
        <w:t xml:space="preserve">в 2013 году </w:t>
      </w:r>
      <w:r>
        <w:rPr>
          <w:sz w:val="28"/>
          <w:szCs w:val="28"/>
        </w:rPr>
        <w:t>в бюджет городского округа налога, взимаемого в связи с применением упрощенной системы</w:t>
      </w:r>
      <w:proofErr w:type="gramEnd"/>
      <w:r>
        <w:rPr>
          <w:sz w:val="28"/>
          <w:szCs w:val="28"/>
        </w:rPr>
        <w:t xml:space="preserve"> налогообложения.</w:t>
      </w:r>
    </w:p>
    <w:p w:rsidR="00D51B93" w:rsidRPr="0097267A" w:rsidRDefault="00D51B93" w:rsidP="00FA79DA">
      <w:pPr>
        <w:ind w:firstLine="540"/>
        <w:jc w:val="both"/>
        <w:rPr>
          <w:i/>
          <w:sz w:val="28"/>
          <w:szCs w:val="28"/>
        </w:rPr>
      </w:pPr>
      <w:r w:rsidRPr="0097267A">
        <w:rPr>
          <w:i/>
          <w:sz w:val="28"/>
          <w:szCs w:val="28"/>
        </w:rPr>
        <w:t xml:space="preserve">Справочно: за 2012 год </w:t>
      </w:r>
      <w:r w:rsidR="00FA79DA" w:rsidRPr="0097267A">
        <w:rPr>
          <w:i/>
          <w:sz w:val="28"/>
          <w:szCs w:val="28"/>
        </w:rPr>
        <w:t xml:space="preserve">налог на совокупный доход </w:t>
      </w:r>
      <w:r w:rsidRPr="0097267A">
        <w:rPr>
          <w:i/>
          <w:sz w:val="28"/>
          <w:szCs w:val="28"/>
        </w:rPr>
        <w:t xml:space="preserve">составлял </w:t>
      </w:r>
      <w:r w:rsidR="00FA79DA" w:rsidRPr="0097267A">
        <w:rPr>
          <w:i/>
          <w:sz w:val="28"/>
          <w:szCs w:val="28"/>
        </w:rPr>
        <w:t>6,7</w:t>
      </w:r>
      <w:r w:rsidRPr="0097267A">
        <w:rPr>
          <w:i/>
          <w:sz w:val="28"/>
          <w:szCs w:val="28"/>
        </w:rPr>
        <w:t>% от общего объема годовых поступлений.</w:t>
      </w:r>
    </w:p>
    <w:p w:rsidR="00EF4FFC" w:rsidRDefault="00EF4FFC" w:rsidP="000D6190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proofErr w:type="gramStart"/>
      <w:r w:rsidRPr="00EF4FFC">
        <w:rPr>
          <w:sz w:val="28"/>
          <w:szCs w:val="28"/>
        </w:rPr>
        <w:t>налог</w:t>
      </w:r>
      <w:r w:rsidR="00FA79DA">
        <w:rPr>
          <w:sz w:val="28"/>
          <w:szCs w:val="28"/>
        </w:rPr>
        <w:t>и</w:t>
      </w:r>
      <w:r w:rsidRPr="00EF4FFC">
        <w:rPr>
          <w:sz w:val="28"/>
          <w:szCs w:val="28"/>
        </w:rPr>
        <w:t xml:space="preserve"> на имущество (</w:t>
      </w:r>
      <w:r w:rsidR="00FA79DA">
        <w:rPr>
          <w:sz w:val="28"/>
          <w:szCs w:val="28"/>
        </w:rPr>
        <w:t>19,0</w:t>
      </w:r>
      <w:r w:rsidRPr="00EF4FFC">
        <w:rPr>
          <w:sz w:val="28"/>
          <w:szCs w:val="28"/>
        </w:rPr>
        <w:t>% от общего объема</w:t>
      </w:r>
      <w:r w:rsidR="00FA79DA" w:rsidRPr="00FA79DA">
        <w:rPr>
          <w:sz w:val="28"/>
          <w:szCs w:val="28"/>
        </w:rPr>
        <w:t xml:space="preserve"> </w:t>
      </w:r>
      <w:r w:rsidR="00FA79DA" w:rsidRPr="00640751">
        <w:rPr>
          <w:sz w:val="28"/>
          <w:szCs w:val="28"/>
        </w:rPr>
        <w:t>годовых поступлений</w:t>
      </w:r>
      <w:r w:rsidRPr="00EF4FFC">
        <w:rPr>
          <w:sz w:val="28"/>
          <w:szCs w:val="28"/>
        </w:rPr>
        <w:t xml:space="preserve">), который при уточненном плане </w:t>
      </w:r>
      <w:r w:rsidR="00FA79DA">
        <w:rPr>
          <w:sz w:val="28"/>
          <w:szCs w:val="28"/>
        </w:rPr>
        <w:t>178200</w:t>
      </w:r>
      <w:r w:rsidRPr="00EF4FFC">
        <w:rPr>
          <w:sz w:val="28"/>
          <w:szCs w:val="28"/>
        </w:rPr>
        <w:t xml:space="preserve">,0 тыс. руб., выполнен  в сумме </w:t>
      </w:r>
      <w:r w:rsidR="00FA79DA">
        <w:rPr>
          <w:sz w:val="28"/>
          <w:szCs w:val="28"/>
        </w:rPr>
        <w:t>180145</w:t>
      </w:r>
      <w:r w:rsidRPr="00EF4FFC">
        <w:rPr>
          <w:sz w:val="28"/>
          <w:szCs w:val="28"/>
        </w:rPr>
        <w:t>1,0 тыс. руб. или на 101,1%. Относительно 201</w:t>
      </w:r>
      <w:r w:rsidR="00FA79DA">
        <w:rPr>
          <w:sz w:val="28"/>
          <w:szCs w:val="28"/>
        </w:rPr>
        <w:t>2</w:t>
      </w:r>
      <w:r w:rsidRPr="00EF4FFC">
        <w:rPr>
          <w:sz w:val="28"/>
          <w:szCs w:val="28"/>
        </w:rPr>
        <w:t xml:space="preserve"> года налог увеличился на </w:t>
      </w:r>
      <w:r w:rsidR="00FA79DA">
        <w:rPr>
          <w:sz w:val="28"/>
          <w:szCs w:val="28"/>
        </w:rPr>
        <w:t>65434</w:t>
      </w:r>
      <w:r w:rsidRPr="00EF4FFC">
        <w:rPr>
          <w:sz w:val="28"/>
          <w:szCs w:val="28"/>
        </w:rPr>
        <w:t xml:space="preserve">,0 тыс. руб. или </w:t>
      </w:r>
      <w:r w:rsidR="00FA79DA">
        <w:rPr>
          <w:sz w:val="28"/>
          <w:szCs w:val="28"/>
        </w:rPr>
        <w:t>157,0</w:t>
      </w:r>
      <w:r w:rsidRPr="00EF4FFC">
        <w:rPr>
          <w:sz w:val="28"/>
          <w:szCs w:val="28"/>
        </w:rPr>
        <w:t xml:space="preserve">%, что обусловлено </w:t>
      </w:r>
      <w:r w:rsidR="008A0FF1">
        <w:rPr>
          <w:sz w:val="28"/>
          <w:szCs w:val="28"/>
        </w:rPr>
        <w:t xml:space="preserve">передачей в 2013 году в </w:t>
      </w:r>
      <w:r w:rsidR="008A0FF1">
        <w:rPr>
          <w:sz w:val="28"/>
          <w:szCs w:val="28"/>
        </w:rPr>
        <w:lastRenderedPageBreak/>
        <w:t>бюджет городского округа налога на имущество организаций и значительным</w:t>
      </w:r>
      <w:r w:rsidR="008A0FF1" w:rsidRPr="00EF4FFC">
        <w:rPr>
          <w:sz w:val="28"/>
          <w:szCs w:val="28"/>
        </w:rPr>
        <w:t xml:space="preserve"> </w:t>
      </w:r>
      <w:r w:rsidRPr="00EF4FFC">
        <w:rPr>
          <w:sz w:val="28"/>
          <w:szCs w:val="28"/>
        </w:rPr>
        <w:t>поступлением земельного налога,</w:t>
      </w:r>
      <w:r w:rsidR="008A0FF1">
        <w:rPr>
          <w:sz w:val="28"/>
          <w:szCs w:val="28"/>
        </w:rPr>
        <w:t xml:space="preserve"> связанного с увеличением объема продаж</w:t>
      </w:r>
      <w:proofErr w:type="gramEnd"/>
      <w:r w:rsidR="008A0FF1">
        <w:rPr>
          <w:sz w:val="28"/>
          <w:szCs w:val="28"/>
        </w:rPr>
        <w:t xml:space="preserve"> земельных участков.</w:t>
      </w:r>
    </w:p>
    <w:p w:rsidR="008A0FF1" w:rsidRPr="00EF4FFC" w:rsidRDefault="008A0FF1" w:rsidP="008A0FF1">
      <w:pPr>
        <w:ind w:firstLine="540"/>
        <w:jc w:val="both"/>
        <w:rPr>
          <w:sz w:val="28"/>
          <w:szCs w:val="28"/>
        </w:rPr>
      </w:pPr>
      <w:r w:rsidRPr="00FA79DA">
        <w:rPr>
          <w:i/>
          <w:sz w:val="28"/>
          <w:szCs w:val="28"/>
        </w:rPr>
        <w:t xml:space="preserve">Справочно: за 2012 год </w:t>
      </w:r>
      <w:r w:rsidR="0097267A" w:rsidRPr="0097267A">
        <w:rPr>
          <w:i/>
          <w:sz w:val="28"/>
          <w:szCs w:val="28"/>
        </w:rPr>
        <w:t>налог на имущество</w:t>
      </w:r>
      <w:r w:rsidRPr="00FA79DA">
        <w:rPr>
          <w:i/>
          <w:sz w:val="28"/>
          <w:szCs w:val="28"/>
        </w:rPr>
        <w:t xml:space="preserve"> составлял </w:t>
      </w:r>
      <w:r>
        <w:rPr>
          <w:i/>
          <w:sz w:val="28"/>
          <w:szCs w:val="28"/>
        </w:rPr>
        <w:t>15,5</w:t>
      </w:r>
      <w:r w:rsidRPr="00FA79DA">
        <w:rPr>
          <w:i/>
          <w:sz w:val="28"/>
          <w:szCs w:val="28"/>
        </w:rPr>
        <w:t>% от общего объема годовых поступлений.</w:t>
      </w:r>
    </w:p>
    <w:p w:rsidR="00EF4FFC" w:rsidRDefault="00EF4FFC" w:rsidP="000D6190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proofErr w:type="gramStart"/>
      <w:r w:rsidRPr="00EF4FFC">
        <w:rPr>
          <w:sz w:val="28"/>
          <w:szCs w:val="28"/>
        </w:rPr>
        <w:t>доходы от использования имущества, находящегося в муниципальной собственности (</w:t>
      </w:r>
      <w:r w:rsidR="008A0FF1">
        <w:rPr>
          <w:sz w:val="28"/>
          <w:szCs w:val="28"/>
        </w:rPr>
        <w:t>13,8</w:t>
      </w:r>
      <w:r w:rsidRPr="00EF4FFC">
        <w:rPr>
          <w:sz w:val="28"/>
          <w:szCs w:val="28"/>
        </w:rPr>
        <w:t>% от общего объема</w:t>
      </w:r>
      <w:r w:rsidR="008A0FF1" w:rsidRPr="008A0FF1">
        <w:rPr>
          <w:sz w:val="28"/>
          <w:szCs w:val="28"/>
        </w:rPr>
        <w:t xml:space="preserve"> </w:t>
      </w:r>
      <w:r w:rsidR="008A0FF1" w:rsidRPr="00640751">
        <w:rPr>
          <w:sz w:val="28"/>
          <w:szCs w:val="28"/>
        </w:rPr>
        <w:t>годовых поступлений</w:t>
      </w:r>
      <w:r w:rsidRPr="00EF4FFC">
        <w:rPr>
          <w:sz w:val="28"/>
          <w:szCs w:val="28"/>
        </w:rPr>
        <w:t xml:space="preserve">), который при уточненном плане </w:t>
      </w:r>
      <w:r w:rsidR="008A0FF1">
        <w:rPr>
          <w:sz w:val="28"/>
          <w:szCs w:val="28"/>
        </w:rPr>
        <w:t>130115</w:t>
      </w:r>
      <w:r w:rsidRPr="00EF4FFC">
        <w:rPr>
          <w:sz w:val="28"/>
          <w:szCs w:val="28"/>
        </w:rPr>
        <w:t xml:space="preserve">,0 тыс. руб., выполнен  в сумме </w:t>
      </w:r>
      <w:r w:rsidR="008A0FF1">
        <w:rPr>
          <w:sz w:val="28"/>
          <w:szCs w:val="28"/>
        </w:rPr>
        <w:t>130593</w:t>
      </w:r>
      <w:r w:rsidRPr="00EF4FFC">
        <w:rPr>
          <w:sz w:val="28"/>
          <w:szCs w:val="28"/>
        </w:rPr>
        <w:t>,0 тыс. руб. или на 10</w:t>
      </w:r>
      <w:r w:rsidR="008A0FF1">
        <w:rPr>
          <w:sz w:val="28"/>
          <w:szCs w:val="28"/>
        </w:rPr>
        <w:t>0,4</w:t>
      </w:r>
      <w:r w:rsidRPr="00EF4FFC">
        <w:rPr>
          <w:sz w:val="28"/>
          <w:szCs w:val="28"/>
        </w:rPr>
        <w:t>%. Относительно 201</w:t>
      </w:r>
      <w:r w:rsidR="008A0FF1">
        <w:rPr>
          <w:sz w:val="28"/>
          <w:szCs w:val="28"/>
        </w:rPr>
        <w:t>2</w:t>
      </w:r>
      <w:r w:rsidRPr="00EF4FFC">
        <w:rPr>
          <w:sz w:val="28"/>
          <w:szCs w:val="28"/>
        </w:rPr>
        <w:t xml:space="preserve"> года доход  увеличился на </w:t>
      </w:r>
      <w:r w:rsidR="008A0FF1">
        <w:rPr>
          <w:sz w:val="28"/>
          <w:szCs w:val="28"/>
        </w:rPr>
        <w:t>37261</w:t>
      </w:r>
      <w:r w:rsidRPr="00EF4FFC">
        <w:rPr>
          <w:sz w:val="28"/>
          <w:szCs w:val="28"/>
        </w:rPr>
        <w:t xml:space="preserve">,0 тыс. руб. или </w:t>
      </w:r>
      <w:r w:rsidR="008A0FF1">
        <w:rPr>
          <w:sz w:val="28"/>
          <w:szCs w:val="28"/>
        </w:rPr>
        <w:t>139,9</w:t>
      </w:r>
      <w:r w:rsidRPr="00EF4FFC">
        <w:rPr>
          <w:sz w:val="28"/>
          <w:szCs w:val="28"/>
        </w:rPr>
        <w:t>%, в связи с увеличением арендной либо иной платы за передачу в возмездное пользование имущества.</w:t>
      </w:r>
      <w:proofErr w:type="gramEnd"/>
    </w:p>
    <w:p w:rsidR="008A0FF1" w:rsidRPr="0097267A" w:rsidRDefault="008A0FF1" w:rsidP="008A0FF1">
      <w:pPr>
        <w:ind w:firstLine="540"/>
        <w:jc w:val="both"/>
        <w:rPr>
          <w:i/>
          <w:sz w:val="28"/>
          <w:szCs w:val="28"/>
        </w:rPr>
      </w:pPr>
      <w:r w:rsidRPr="008A0FF1">
        <w:rPr>
          <w:i/>
          <w:sz w:val="28"/>
          <w:szCs w:val="28"/>
        </w:rPr>
        <w:t xml:space="preserve">Справочно: за 2012 год </w:t>
      </w:r>
      <w:r w:rsidR="0097267A" w:rsidRPr="0097267A">
        <w:rPr>
          <w:i/>
          <w:sz w:val="28"/>
          <w:szCs w:val="28"/>
        </w:rPr>
        <w:t>доход от использования имущества</w:t>
      </w:r>
      <w:r w:rsidRPr="0097267A">
        <w:rPr>
          <w:i/>
          <w:sz w:val="28"/>
          <w:szCs w:val="28"/>
        </w:rPr>
        <w:t xml:space="preserve"> составлял 12,6% от общего объема годовых поступлений.</w:t>
      </w:r>
    </w:p>
    <w:p w:rsidR="00FA79DA" w:rsidRPr="00EF4FFC" w:rsidRDefault="00FA79DA" w:rsidP="00FA79DA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proofErr w:type="gramStart"/>
      <w:r w:rsidRPr="00EF4FFC">
        <w:rPr>
          <w:sz w:val="28"/>
          <w:szCs w:val="28"/>
        </w:rPr>
        <w:t>доходы от продажи материальных и нематериальных активов   (</w:t>
      </w:r>
      <w:r w:rsidR="008A0FF1">
        <w:rPr>
          <w:sz w:val="28"/>
          <w:szCs w:val="28"/>
        </w:rPr>
        <w:t>4,2</w:t>
      </w:r>
      <w:r w:rsidRPr="00EF4FFC">
        <w:rPr>
          <w:sz w:val="28"/>
          <w:szCs w:val="28"/>
        </w:rPr>
        <w:t>% от общего объема</w:t>
      </w:r>
      <w:r w:rsidR="008A0FF1" w:rsidRPr="008A0FF1">
        <w:rPr>
          <w:sz w:val="28"/>
          <w:szCs w:val="28"/>
        </w:rPr>
        <w:t xml:space="preserve"> </w:t>
      </w:r>
      <w:r w:rsidR="008A0FF1" w:rsidRPr="00640751">
        <w:rPr>
          <w:sz w:val="28"/>
          <w:szCs w:val="28"/>
        </w:rPr>
        <w:t>годовых поступлений</w:t>
      </w:r>
      <w:r w:rsidRPr="00EF4FFC">
        <w:rPr>
          <w:sz w:val="28"/>
          <w:szCs w:val="28"/>
        </w:rPr>
        <w:t xml:space="preserve">), который при уточненном плане </w:t>
      </w:r>
      <w:r w:rsidR="008A0FF1">
        <w:rPr>
          <w:sz w:val="28"/>
          <w:szCs w:val="28"/>
        </w:rPr>
        <w:t>39200</w:t>
      </w:r>
      <w:r w:rsidRPr="00EF4FFC">
        <w:rPr>
          <w:sz w:val="28"/>
          <w:szCs w:val="28"/>
        </w:rPr>
        <w:t xml:space="preserve">,0 тыс. руб., выполнен  в сумме </w:t>
      </w:r>
      <w:r w:rsidR="008A0FF1">
        <w:rPr>
          <w:sz w:val="28"/>
          <w:szCs w:val="28"/>
        </w:rPr>
        <w:t>39310</w:t>
      </w:r>
      <w:r w:rsidRPr="00EF4FFC">
        <w:rPr>
          <w:sz w:val="28"/>
          <w:szCs w:val="28"/>
        </w:rPr>
        <w:t xml:space="preserve">,0 тыс. руб. или на </w:t>
      </w:r>
      <w:r w:rsidR="0097267A">
        <w:rPr>
          <w:sz w:val="28"/>
          <w:szCs w:val="28"/>
        </w:rPr>
        <w:t>103,0</w:t>
      </w:r>
      <w:r w:rsidRPr="00EF4FFC">
        <w:rPr>
          <w:sz w:val="28"/>
          <w:szCs w:val="28"/>
        </w:rPr>
        <w:t>%. Относительно 201</w:t>
      </w:r>
      <w:r w:rsidR="0097267A">
        <w:rPr>
          <w:sz w:val="28"/>
          <w:szCs w:val="28"/>
        </w:rPr>
        <w:t>2</w:t>
      </w:r>
      <w:r w:rsidRPr="00EF4FFC">
        <w:rPr>
          <w:sz w:val="28"/>
          <w:szCs w:val="28"/>
        </w:rPr>
        <w:t xml:space="preserve"> года  доход у</w:t>
      </w:r>
      <w:r w:rsidR="0097267A">
        <w:rPr>
          <w:sz w:val="28"/>
          <w:szCs w:val="28"/>
        </w:rPr>
        <w:t>меньшился</w:t>
      </w:r>
      <w:r w:rsidRPr="00EF4FFC">
        <w:rPr>
          <w:sz w:val="28"/>
          <w:szCs w:val="28"/>
        </w:rPr>
        <w:t xml:space="preserve"> на </w:t>
      </w:r>
      <w:r w:rsidR="0097267A">
        <w:rPr>
          <w:sz w:val="28"/>
          <w:szCs w:val="28"/>
        </w:rPr>
        <w:t>87687</w:t>
      </w:r>
      <w:r w:rsidRPr="00EF4FFC">
        <w:rPr>
          <w:sz w:val="28"/>
          <w:szCs w:val="28"/>
        </w:rPr>
        <w:t xml:space="preserve">,0 тыс. руб. или </w:t>
      </w:r>
      <w:r w:rsidR="006B5971">
        <w:rPr>
          <w:sz w:val="28"/>
          <w:szCs w:val="28"/>
        </w:rPr>
        <w:t>на 69</w:t>
      </w:r>
      <w:r w:rsidR="0097267A">
        <w:rPr>
          <w:sz w:val="28"/>
          <w:szCs w:val="28"/>
        </w:rPr>
        <w:t>,0%</w:t>
      </w:r>
      <w:r w:rsidRPr="00EF4FFC">
        <w:rPr>
          <w:sz w:val="28"/>
          <w:szCs w:val="28"/>
        </w:rPr>
        <w:t xml:space="preserve">, что обусловлено </w:t>
      </w:r>
      <w:r w:rsidR="0097267A">
        <w:rPr>
          <w:sz w:val="28"/>
          <w:szCs w:val="28"/>
        </w:rPr>
        <w:t>значительным уменьшением</w:t>
      </w:r>
      <w:r w:rsidRPr="00EF4FFC">
        <w:rPr>
          <w:sz w:val="28"/>
          <w:szCs w:val="28"/>
        </w:rPr>
        <w:t xml:space="preserve"> поступлени</w:t>
      </w:r>
      <w:r w:rsidR="0097267A">
        <w:rPr>
          <w:sz w:val="28"/>
          <w:szCs w:val="28"/>
        </w:rPr>
        <w:t>я</w:t>
      </w:r>
      <w:r w:rsidRPr="00EF4FFC">
        <w:rPr>
          <w:sz w:val="28"/>
          <w:szCs w:val="28"/>
        </w:rPr>
        <w:t xml:space="preserve"> доходо</w:t>
      </w:r>
      <w:r w:rsidR="00074EDF">
        <w:rPr>
          <w:sz w:val="28"/>
          <w:szCs w:val="28"/>
        </w:rPr>
        <w:t>в от продажи земельных участков.</w:t>
      </w:r>
      <w:proofErr w:type="gramEnd"/>
    </w:p>
    <w:p w:rsidR="00FA79DA" w:rsidRPr="0097267A" w:rsidRDefault="0097267A" w:rsidP="0097267A">
      <w:pPr>
        <w:ind w:firstLine="540"/>
        <w:jc w:val="both"/>
        <w:rPr>
          <w:i/>
          <w:sz w:val="28"/>
          <w:szCs w:val="28"/>
        </w:rPr>
      </w:pPr>
      <w:r w:rsidRPr="0097267A">
        <w:rPr>
          <w:i/>
          <w:sz w:val="28"/>
          <w:szCs w:val="28"/>
        </w:rPr>
        <w:t>Справочно: за 2012 год доход от продажи материальных и нематериальных активов составлял 17,2% от общего объема годовых поступлений.</w:t>
      </w:r>
    </w:p>
    <w:p w:rsidR="00EF4FFC" w:rsidRDefault="00EF4FFC" w:rsidP="00EF4FFC">
      <w:pPr>
        <w:ind w:firstLine="540"/>
        <w:jc w:val="both"/>
      </w:pPr>
      <w:r w:rsidRPr="00EF4FFC">
        <w:rPr>
          <w:b/>
          <w:sz w:val="28"/>
          <w:szCs w:val="28"/>
        </w:rPr>
        <w:t>Безвозмездные поступления.</w:t>
      </w:r>
      <w:r w:rsidRPr="00EF4FFC">
        <w:t xml:space="preserve"> </w:t>
      </w:r>
    </w:p>
    <w:p w:rsidR="000F6D9A" w:rsidRPr="000F6D9A" w:rsidRDefault="00AA7D23" w:rsidP="00EF4FFC">
      <w:pPr>
        <w:ind w:firstLine="540"/>
        <w:jc w:val="both"/>
        <w:rPr>
          <w:sz w:val="28"/>
          <w:szCs w:val="28"/>
        </w:rPr>
      </w:pPr>
      <w:r w:rsidRPr="00EF4FFC">
        <w:rPr>
          <w:sz w:val="28"/>
          <w:szCs w:val="28"/>
        </w:rPr>
        <w:t xml:space="preserve">В структуре доходов бюджета </w:t>
      </w:r>
      <w:r>
        <w:rPr>
          <w:sz w:val="28"/>
          <w:szCs w:val="28"/>
        </w:rPr>
        <w:t xml:space="preserve">городского округа за 2013 год </w:t>
      </w:r>
      <w:r w:rsidRPr="00EF4FFC">
        <w:rPr>
          <w:sz w:val="28"/>
          <w:szCs w:val="28"/>
        </w:rPr>
        <w:t>безвозмездные  поступления составляют</w:t>
      </w:r>
      <w:r w:rsidR="000F6D9A" w:rsidRPr="000F6D9A">
        <w:rPr>
          <w:sz w:val="28"/>
          <w:szCs w:val="28"/>
        </w:rPr>
        <w:t>:</w:t>
      </w:r>
    </w:p>
    <w:p w:rsidR="000F6D9A" w:rsidRDefault="000F6D9A" w:rsidP="000F6D9A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F4FFC">
        <w:rPr>
          <w:sz w:val="28"/>
          <w:szCs w:val="28"/>
        </w:rPr>
        <w:t>оступления от других бюджетов бюджетной системы Российской Федерации</w:t>
      </w:r>
      <w:r>
        <w:rPr>
          <w:sz w:val="28"/>
          <w:szCs w:val="28"/>
        </w:rPr>
        <w:t xml:space="preserve"> в сумме 182290,0 тыс. руб. Относительно 2012 года сумма поступлений уменьшилась на 26990,0 тыс. руб.</w:t>
      </w:r>
      <w:r w:rsidR="006B5971">
        <w:rPr>
          <w:sz w:val="28"/>
          <w:szCs w:val="28"/>
        </w:rPr>
        <w:t xml:space="preserve"> или на 12,9%;</w:t>
      </w:r>
    </w:p>
    <w:p w:rsidR="000F6D9A" w:rsidRDefault="000F6D9A" w:rsidP="000F6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5971">
        <w:rPr>
          <w:sz w:val="28"/>
          <w:szCs w:val="28"/>
        </w:rPr>
        <w:t>прочие безвозмездные поступления в сумме 300,0 тыс. руб. Относительно 2012 года сумма поступлений уменьшилась на 150,0 тыс. руб. или на 33,3%.</w:t>
      </w:r>
    </w:p>
    <w:p w:rsidR="006B5971" w:rsidRPr="000F6D9A" w:rsidRDefault="006B5971" w:rsidP="006B5971">
      <w:pPr>
        <w:ind w:firstLine="540"/>
        <w:jc w:val="both"/>
        <w:rPr>
          <w:sz w:val="28"/>
          <w:szCs w:val="28"/>
        </w:rPr>
      </w:pPr>
      <w:r w:rsidRPr="006B5971">
        <w:rPr>
          <w:sz w:val="28"/>
          <w:szCs w:val="28"/>
        </w:rPr>
        <w:t xml:space="preserve">Возврат остатков субсидий, субвенций и иных межбюджетных </w:t>
      </w:r>
      <w:proofErr w:type="gramStart"/>
      <w:r w:rsidRPr="006B5971">
        <w:rPr>
          <w:sz w:val="28"/>
          <w:szCs w:val="28"/>
        </w:rPr>
        <w:t>трансфертов</w:t>
      </w:r>
      <w:proofErr w:type="gramEnd"/>
      <w:r w:rsidRPr="006B5971">
        <w:rPr>
          <w:sz w:val="28"/>
          <w:szCs w:val="28"/>
        </w:rPr>
        <w:t xml:space="preserve"> имеющих целевое назначение, прошлых лет</w:t>
      </w:r>
      <w:r>
        <w:rPr>
          <w:sz w:val="28"/>
          <w:szCs w:val="28"/>
        </w:rPr>
        <w:t xml:space="preserve"> составил 2538,0 тыс. руб. Относительно 2012 года возврат остатков </w:t>
      </w:r>
      <w:r w:rsidR="00AA7D23">
        <w:rPr>
          <w:sz w:val="28"/>
          <w:szCs w:val="28"/>
        </w:rPr>
        <w:t>увеличился на 2407,0 тыс. руб. или в 19,4 раза.</w:t>
      </w:r>
    </w:p>
    <w:p w:rsidR="00EF4FFC" w:rsidRPr="00EF4FFC" w:rsidRDefault="00EF4FFC" w:rsidP="000B05B1">
      <w:pPr>
        <w:ind w:firstLine="540"/>
        <w:jc w:val="both"/>
        <w:rPr>
          <w:sz w:val="28"/>
          <w:szCs w:val="28"/>
        </w:rPr>
      </w:pPr>
      <w:r w:rsidRPr="00EF4FFC">
        <w:rPr>
          <w:sz w:val="28"/>
          <w:szCs w:val="28"/>
        </w:rPr>
        <w:t xml:space="preserve">Основную долю безвозмездных поступлений, </w:t>
      </w:r>
      <w:r w:rsidR="00AA7D23">
        <w:rPr>
          <w:sz w:val="28"/>
          <w:szCs w:val="28"/>
        </w:rPr>
        <w:t>99,8</w:t>
      </w:r>
      <w:r w:rsidRPr="00EF4FFC">
        <w:rPr>
          <w:sz w:val="28"/>
          <w:szCs w:val="28"/>
        </w:rPr>
        <w:t>% от общей суммы исполнения за 201</w:t>
      </w:r>
      <w:r w:rsidR="0097267A">
        <w:rPr>
          <w:sz w:val="28"/>
          <w:szCs w:val="28"/>
        </w:rPr>
        <w:t>3</w:t>
      </w:r>
      <w:r w:rsidRPr="00EF4FFC">
        <w:rPr>
          <w:sz w:val="28"/>
          <w:szCs w:val="28"/>
        </w:rPr>
        <w:t xml:space="preserve"> год, составляют поступления от других бюджетов бюджетной системы Российской Федерации, в состав которых входят:</w:t>
      </w:r>
    </w:p>
    <w:p w:rsidR="00EF4FFC" w:rsidRPr="000B05B1" w:rsidRDefault="000B05B1" w:rsidP="000B05B1">
      <w:pPr>
        <w:pStyle w:val="af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524AEA" w:rsidRPr="000B05B1">
        <w:rPr>
          <w:rFonts w:ascii="Times New Roman" w:hAnsi="Times New Roman"/>
          <w:sz w:val="28"/>
          <w:szCs w:val="28"/>
        </w:rPr>
        <w:t>убсидии бюджетам бюджетной системы Российской Федерации (межбюджетные субсидии)</w:t>
      </w:r>
      <w:r w:rsidR="00EF4FFC" w:rsidRPr="000B05B1">
        <w:rPr>
          <w:rFonts w:ascii="Times New Roman" w:hAnsi="Times New Roman"/>
          <w:sz w:val="28"/>
          <w:szCs w:val="28"/>
        </w:rPr>
        <w:t>;</w:t>
      </w:r>
    </w:p>
    <w:p w:rsidR="00EF4FFC" w:rsidRPr="000B05B1" w:rsidRDefault="000B05B1" w:rsidP="000B05B1">
      <w:pPr>
        <w:pStyle w:val="af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524AEA" w:rsidRPr="000B05B1">
        <w:rPr>
          <w:rFonts w:ascii="Times New Roman" w:hAnsi="Times New Roman"/>
          <w:sz w:val="28"/>
          <w:szCs w:val="28"/>
        </w:rPr>
        <w:t>убвенции бюджетам субъектов Российской Федерации и муниципальных образований</w:t>
      </w:r>
      <w:r>
        <w:rPr>
          <w:rFonts w:ascii="Times New Roman" w:hAnsi="Times New Roman"/>
          <w:sz w:val="28"/>
          <w:szCs w:val="28"/>
        </w:rPr>
        <w:t>.</w:t>
      </w:r>
    </w:p>
    <w:p w:rsidR="00EF4FFC" w:rsidRDefault="00EF4FFC" w:rsidP="000B05B1">
      <w:pPr>
        <w:ind w:firstLine="567"/>
        <w:jc w:val="both"/>
        <w:rPr>
          <w:sz w:val="28"/>
          <w:szCs w:val="28"/>
        </w:rPr>
      </w:pPr>
      <w:r w:rsidRPr="00EF4FFC">
        <w:rPr>
          <w:sz w:val="28"/>
          <w:szCs w:val="28"/>
        </w:rPr>
        <w:t>Поступления от других бюджетов бюджетной системы Российской Федерации приведены в таблице:</w:t>
      </w:r>
    </w:p>
    <w:p w:rsidR="005E5E8C" w:rsidRDefault="005E5E8C" w:rsidP="00A91B3F">
      <w:pPr>
        <w:jc w:val="right"/>
      </w:pPr>
    </w:p>
    <w:p w:rsidR="00EF4FFC" w:rsidRDefault="00EF4FFC" w:rsidP="00A91B3F">
      <w:pPr>
        <w:jc w:val="right"/>
      </w:pPr>
      <w:r w:rsidRPr="00EF4FFC">
        <w:lastRenderedPageBreak/>
        <w:t>тыс. руб.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8"/>
        <w:gridCol w:w="1417"/>
        <w:gridCol w:w="1276"/>
        <w:gridCol w:w="851"/>
      </w:tblGrid>
      <w:tr w:rsidR="00A91B3F" w:rsidTr="00074EDF">
        <w:trPr>
          <w:trHeight w:val="570"/>
        </w:trPr>
        <w:tc>
          <w:tcPr>
            <w:tcW w:w="467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658AD" w:rsidRPr="00AA7D23" w:rsidRDefault="003658AD">
            <w:pPr>
              <w:jc w:val="center"/>
              <w:rPr>
                <w:color w:val="000000"/>
                <w:sz w:val="22"/>
                <w:szCs w:val="22"/>
              </w:rPr>
            </w:pPr>
            <w:r w:rsidRPr="00AA7D23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658AD" w:rsidRPr="00AA7D23" w:rsidRDefault="003658AD">
            <w:pPr>
              <w:jc w:val="center"/>
              <w:rPr>
                <w:color w:val="000000"/>
                <w:sz w:val="22"/>
                <w:szCs w:val="22"/>
              </w:rPr>
            </w:pPr>
            <w:r w:rsidRPr="00AA7D23">
              <w:rPr>
                <w:color w:val="000000"/>
                <w:sz w:val="22"/>
                <w:szCs w:val="22"/>
              </w:rPr>
              <w:t>Бюджетные назначения на 2013 год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658AD" w:rsidRPr="00AA7D23" w:rsidRDefault="003658AD">
            <w:pPr>
              <w:jc w:val="center"/>
              <w:rPr>
                <w:color w:val="000000"/>
                <w:sz w:val="22"/>
                <w:szCs w:val="22"/>
              </w:rPr>
            </w:pPr>
            <w:r w:rsidRPr="00AA7D23">
              <w:rPr>
                <w:color w:val="000000"/>
                <w:sz w:val="22"/>
                <w:szCs w:val="22"/>
              </w:rPr>
              <w:t>Исполнение за 2013 год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3658AD" w:rsidRPr="00AA7D23" w:rsidRDefault="003658AD">
            <w:pPr>
              <w:jc w:val="center"/>
              <w:rPr>
                <w:color w:val="000000"/>
                <w:sz w:val="22"/>
                <w:szCs w:val="22"/>
              </w:rPr>
            </w:pPr>
            <w:r w:rsidRPr="00AA7D23">
              <w:rPr>
                <w:color w:val="000000"/>
                <w:sz w:val="22"/>
                <w:szCs w:val="22"/>
              </w:rPr>
              <w:t>Отклонение</w:t>
            </w:r>
          </w:p>
        </w:tc>
      </w:tr>
      <w:tr w:rsidR="00AA7D23" w:rsidTr="00074EDF">
        <w:trPr>
          <w:trHeight w:val="168"/>
        </w:trPr>
        <w:tc>
          <w:tcPr>
            <w:tcW w:w="4678" w:type="dxa"/>
            <w:vMerge/>
            <w:shd w:val="clear" w:color="auto" w:fill="D9D9D9" w:themeFill="background1" w:themeFillShade="D9"/>
            <w:vAlign w:val="center"/>
            <w:hideMark/>
          </w:tcPr>
          <w:p w:rsidR="003658AD" w:rsidRPr="00AA7D23" w:rsidRDefault="003658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  <w:hideMark/>
          </w:tcPr>
          <w:p w:rsidR="003658AD" w:rsidRPr="00AA7D23" w:rsidRDefault="003658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  <w:hideMark/>
          </w:tcPr>
          <w:p w:rsidR="003658AD" w:rsidRPr="00AA7D23" w:rsidRDefault="003658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658AD" w:rsidRPr="00AA7D23" w:rsidRDefault="003658AD">
            <w:pPr>
              <w:jc w:val="center"/>
              <w:rPr>
                <w:color w:val="000000"/>
                <w:sz w:val="22"/>
                <w:szCs w:val="22"/>
              </w:rPr>
            </w:pPr>
            <w:r w:rsidRPr="00AA7D23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3658AD" w:rsidRPr="00AA7D23" w:rsidRDefault="003658AD">
            <w:pPr>
              <w:jc w:val="center"/>
              <w:rPr>
                <w:color w:val="000000"/>
                <w:sz w:val="22"/>
                <w:szCs w:val="22"/>
              </w:rPr>
            </w:pPr>
            <w:r w:rsidRPr="00AA7D23">
              <w:rPr>
                <w:color w:val="000000"/>
                <w:sz w:val="22"/>
                <w:szCs w:val="22"/>
              </w:rPr>
              <w:t>%</w:t>
            </w:r>
          </w:p>
        </w:tc>
      </w:tr>
      <w:tr w:rsidR="00AA7D23" w:rsidTr="00074EDF">
        <w:trPr>
          <w:trHeight w:val="273"/>
        </w:trPr>
        <w:tc>
          <w:tcPr>
            <w:tcW w:w="4678" w:type="dxa"/>
            <w:shd w:val="clear" w:color="auto" w:fill="auto"/>
            <w:vAlign w:val="center"/>
            <w:hideMark/>
          </w:tcPr>
          <w:p w:rsidR="003658AD" w:rsidRDefault="003658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субсидии бюджетам городских округов. </w:t>
            </w:r>
            <w:proofErr w:type="gramStart"/>
            <w:r>
              <w:rPr>
                <w:color w:val="000000"/>
              </w:rPr>
              <w:t>Субсидии на долгосрочную целевую программу «Развитие образования в Московской области в 2013-2015 гг.», на долгосрочную целевую программу «Дороги Подмосковья на период 2012-2015 гг.», на долгосрочную целевую программу «Развитие системы отдыха и оздоровления детей в Московской области в 2012-2015 гг.», субсидии на повышение заработной платы работников муниципальных учреждений в сферах образования, здравоохранения культуры, физической культуры и спорта, субсидии на закупку технологического</w:t>
            </w:r>
            <w:proofErr w:type="gramEnd"/>
            <w:r>
              <w:rPr>
                <w:color w:val="000000"/>
              </w:rPr>
              <w:t xml:space="preserve"> оборудования для столовых и мебели для залов питания общеобразовательных учреждений-победителей областного конкурса, субсидии на реализацию подпрограммы «Улучшение жилищных условий семей, имеющих 7 и более детей» долгосрочной целевой программы «Жилище» на 2013-2015 гг.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45767,0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23051,0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</w:tr>
      <w:tr w:rsidR="00AA7D23" w:rsidTr="00074EDF">
        <w:trPr>
          <w:trHeight w:val="330"/>
        </w:trPr>
        <w:tc>
          <w:tcPr>
            <w:tcW w:w="4678" w:type="dxa"/>
            <w:shd w:val="clear" w:color="000000" w:fill="D9D9D9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 субсидий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45767,0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22716,0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23051,0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</w:tr>
      <w:tr w:rsidR="00AA7D23" w:rsidTr="00074EDF">
        <w:trPr>
          <w:trHeight w:val="826"/>
        </w:trPr>
        <w:tc>
          <w:tcPr>
            <w:tcW w:w="4678" w:type="dxa"/>
            <w:shd w:val="clear" w:color="auto" w:fill="auto"/>
            <w:vAlign w:val="center"/>
            <w:hideMark/>
          </w:tcPr>
          <w:p w:rsidR="003658AD" w:rsidRDefault="003658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956,6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49,3</w:t>
            </w:r>
          </w:p>
        </w:tc>
      </w:tr>
      <w:tr w:rsidR="00AA7D23" w:rsidTr="00074EDF">
        <w:trPr>
          <w:trHeight w:val="970"/>
        </w:trPr>
        <w:tc>
          <w:tcPr>
            <w:tcW w:w="4678" w:type="dxa"/>
            <w:shd w:val="clear" w:color="auto" w:fill="auto"/>
            <w:vAlign w:val="center"/>
            <w:hideMark/>
          </w:tcPr>
          <w:p w:rsidR="003658AD" w:rsidRDefault="003658AD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A7D23" w:rsidTr="00074EDF">
        <w:trPr>
          <w:trHeight w:val="986"/>
        </w:trPr>
        <w:tc>
          <w:tcPr>
            <w:tcW w:w="4678" w:type="dxa"/>
            <w:shd w:val="clear" w:color="auto" w:fill="auto"/>
            <w:vAlign w:val="center"/>
            <w:hideMark/>
          </w:tcPr>
          <w:p w:rsidR="003658AD" w:rsidRDefault="003658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8337,0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58AD" w:rsidRDefault="003658AD" w:rsidP="005E5E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7956,</w:t>
            </w:r>
            <w:r w:rsidR="005E5E8C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8AD" w:rsidRDefault="003658AD" w:rsidP="005E5E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</w:t>
            </w:r>
            <w:r w:rsidR="005E5E8C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95,4</w:t>
            </w:r>
          </w:p>
        </w:tc>
      </w:tr>
      <w:tr w:rsidR="00AA7D23" w:rsidTr="00074EDF">
        <w:trPr>
          <w:trHeight w:val="1002"/>
        </w:trPr>
        <w:tc>
          <w:tcPr>
            <w:tcW w:w="4678" w:type="dxa"/>
            <w:shd w:val="clear" w:color="auto" w:fill="auto"/>
            <w:vAlign w:val="center"/>
            <w:hideMark/>
          </w:tcPr>
          <w:p w:rsidR="003658AD" w:rsidRDefault="003658AD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58AD" w:rsidRDefault="003658AD" w:rsidP="005E5E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7573,</w:t>
            </w:r>
            <w:r w:rsidR="005E5E8C"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8AD" w:rsidRDefault="003658AD" w:rsidP="005E5E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770,</w:t>
            </w:r>
            <w:r w:rsidR="005E5E8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90,8</w:t>
            </w:r>
          </w:p>
        </w:tc>
      </w:tr>
      <w:tr w:rsidR="00AA7D23" w:rsidTr="00074EDF">
        <w:trPr>
          <w:trHeight w:val="60"/>
        </w:trPr>
        <w:tc>
          <w:tcPr>
            <w:tcW w:w="4678" w:type="dxa"/>
            <w:shd w:val="clear" w:color="auto" w:fill="auto"/>
            <w:vAlign w:val="center"/>
            <w:hideMark/>
          </w:tcPr>
          <w:p w:rsidR="003658AD" w:rsidRDefault="003658A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Субвенции бюджетам городских округов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1160,7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</w:tr>
      <w:tr w:rsidR="00AA7D23" w:rsidTr="00074EDF">
        <w:trPr>
          <w:trHeight w:val="2237"/>
        </w:trPr>
        <w:tc>
          <w:tcPr>
            <w:tcW w:w="4678" w:type="dxa"/>
            <w:shd w:val="clear" w:color="auto" w:fill="auto"/>
            <w:vAlign w:val="center"/>
            <w:hideMark/>
          </w:tcPr>
          <w:p w:rsidR="003658AD" w:rsidRDefault="003658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Субвенции бюджетам городских округов на обеспечение жильем отдельных категорий граждан, установленных Федеральным законом от 12.01.1995 №5-ФЗ "О ветеранах", в соответствии Указом Президента РФ 07.05.2008 №714 "Об обеспечении жильем ветеранов ВОВ 1941-1945 гг."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A7D23" w:rsidTr="00074EDF">
        <w:trPr>
          <w:trHeight w:val="1862"/>
        </w:trPr>
        <w:tc>
          <w:tcPr>
            <w:tcW w:w="4678" w:type="dxa"/>
            <w:shd w:val="clear" w:color="auto" w:fill="auto"/>
            <w:vAlign w:val="center"/>
            <w:hideMark/>
          </w:tcPr>
          <w:p w:rsidR="003658AD" w:rsidRDefault="003658AD"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12.01.1995 №5-ФЗ "О ветеранах" и от 24.11.1995 №181-ФЗ "О социальной защите инвалидов в РФ"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10551,6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58AD" w:rsidRDefault="003658AD" w:rsidP="005E5E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10551,</w:t>
            </w:r>
            <w:r w:rsidR="005E5E8C"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8AD" w:rsidRDefault="003658AD" w:rsidP="005E5E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E5E8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A7D23" w:rsidTr="00074EDF">
        <w:trPr>
          <w:trHeight w:val="623"/>
        </w:trPr>
        <w:tc>
          <w:tcPr>
            <w:tcW w:w="4678" w:type="dxa"/>
            <w:shd w:val="clear" w:color="auto" w:fill="auto"/>
            <w:vAlign w:val="bottom"/>
            <w:hideMark/>
          </w:tcPr>
          <w:p w:rsidR="003658AD" w:rsidRDefault="003658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бюджетам городских округов на модернизацию региональных систем общего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A7D23" w:rsidTr="00074EDF">
        <w:trPr>
          <w:trHeight w:val="60"/>
        </w:trPr>
        <w:tc>
          <w:tcPr>
            <w:tcW w:w="4678" w:type="dxa"/>
            <w:shd w:val="clear" w:color="auto" w:fill="auto"/>
            <w:vAlign w:val="center"/>
            <w:hideMark/>
          </w:tcPr>
          <w:p w:rsidR="003658AD" w:rsidRDefault="003658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субвенции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120760,0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119663,0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1097,0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</w:tr>
      <w:tr w:rsidR="00AA7D23" w:rsidTr="00074EDF">
        <w:trPr>
          <w:trHeight w:val="190"/>
        </w:trPr>
        <w:tc>
          <w:tcPr>
            <w:tcW w:w="4678" w:type="dxa"/>
            <w:shd w:val="clear" w:color="000000" w:fill="D9D9D9"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 субвенций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163939,2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159574,0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4365,2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</w:tr>
      <w:tr w:rsidR="00AA7D23" w:rsidTr="00074EDF">
        <w:trPr>
          <w:trHeight w:val="330"/>
        </w:trPr>
        <w:tc>
          <w:tcPr>
            <w:tcW w:w="4678" w:type="dxa"/>
            <w:shd w:val="clear" w:color="000000" w:fill="D9D9D9"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  безвозмездных поступлений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209706,2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182290,0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27416,2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3658AD" w:rsidRDefault="00365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86,9</w:t>
            </w:r>
          </w:p>
        </w:tc>
      </w:tr>
    </w:tbl>
    <w:p w:rsidR="00EF4FFC" w:rsidRPr="00EF4FFC" w:rsidRDefault="00EF4FFC" w:rsidP="00EF4FF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A7D23" w:rsidRDefault="00AA7D23" w:rsidP="00AA7D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2013 году безвозмездные поступления составляют 16</w:t>
      </w:r>
      <w:r w:rsidRPr="00EF4FFC">
        <w:rPr>
          <w:sz w:val="28"/>
          <w:szCs w:val="28"/>
        </w:rPr>
        <w:t xml:space="preserve">% от общего объема </w:t>
      </w:r>
      <w:r>
        <w:rPr>
          <w:sz w:val="28"/>
          <w:szCs w:val="28"/>
        </w:rPr>
        <w:t xml:space="preserve">годовых </w:t>
      </w:r>
      <w:r w:rsidRPr="00EF4FFC">
        <w:rPr>
          <w:sz w:val="28"/>
          <w:szCs w:val="28"/>
        </w:rPr>
        <w:t>поступлений (для сравнения: в 201</w:t>
      </w:r>
      <w:r>
        <w:rPr>
          <w:sz w:val="28"/>
          <w:szCs w:val="28"/>
        </w:rPr>
        <w:t>2</w:t>
      </w:r>
      <w:r w:rsidRPr="00EF4FFC">
        <w:rPr>
          <w:sz w:val="28"/>
          <w:szCs w:val="28"/>
        </w:rPr>
        <w:t xml:space="preserve"> году этот показатель составлял – </w:t>
      </w:r>
      <w:r>
        <w:rPr>
          <w:color w:val="000000"/>
          <w:sz w:val="28"/>
          <w:szCs w:val="28"/>
        </w:rPr>
        <w:t>22</w:t>
      </w:r>
      <w:r w:rsidRPr="00EF4FFC">
        <w:rPr>
          <w:sz w:val="28"/>
          <w:szCs w:val="28"/>
        </w:rPr>
        <w:t xml:space="preserve">%). Фактически исполнено </w:t>
      </w:r>
      <w:r>
        <w:rPr>
          <w:sz w:val="28"/>
          <w:szCs w:val="28"/>
        </w:rPr>
        <w:t>180052</w:t>
      </w:r>
      <w:r w:rsidRPr="00EF4FFC">
        <w:rPr>
          <w:sz w:val="28"/>
          <w:szCs w:val="28"/>
        </w:rPr>
        <w:t xml:space="preserve">,0 тыс. руб. или  </w:t>
      </w:r>
      <w:r>
        <w:rPr>
          <w:sz w:val="28"/>
          <w:szCs w:val="28"/>
        </w:rPr>
        <w:t>86,9</w:t>
      </w:r>
      <w:r w:rsidRPr="00EF4FFC">
        <w:rPr>
          <w:sz w:val="28"/>
          <w:szCs w:val="28"/>
        </w:rPr>
        <w:t xml:space="preserve">%  от уточненного плана – </w:t>
      </w:r>
      <w:r>
        <w:rPr>
          <w:sz w:val="28"/>
          <w:szCs w:val="28"/>
        </w:rPr>
        <w:t xml:space="preserve">207468,2 тыс. руб. </w:t>
      </w:r>
    </w:p>
    <w:p w:rsidR="00EF4FFC" w:rsidRPr="00EF4FFC" w:rsidRDefault="00AA7D23" w:rsidP="00EF4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F4FFC" w:rsidRPr="00EF4FFC">
        <w:rPr>
          <w:sz w:val="28"/>
          <w:szCs w:val="28"/>
        </w:rPr>
        <w:t xml:space="preserve">езвозмездные поступления </w:t>
      </w:r>
      <w:r>
        <w:rPr>
          <w:sz w:val="28"/>
          <w:szCs w:val="28"/>
        </w:rPr>
        <w:t xml:space="preserve">за 2013 год </w:t>
      </w:r>
      <w:r w:rsidR="00EF4FFC" w:rsidRPr="00EF4FFC">
        <w:rPr>
          <w:sz w:val="28"/>
          <w:szCs w:val="28"/>
        </w:rPr>
        <w:t>в бюджет городского округа относительно 201</w:t>
      </w:r>
      <w:r>
        <w:rPr>
          <w:sz w:val="28"/>
          <w:szCs w:val="28"/>
        </w:rPr>
        <w:t>2</w:t>
      </w:r>
      <w:r w:rsidR="00EF4FFC" w:rsidRPr="00EF4FFC">
        <w:rPr>
          <w:sz w:val="28"/>
          <w:szCs w:val="28"/>
        </w:rPr>
        <w:t xml:space="preserve"> года (</w:t>
      </w:r>
      <w:r>
        <w:rPr>
          <w:sz w:val="28"/>
          <w:szCs w:val="28"/>
        </w:rPr>
        <w:t>209599</w:t>
      </w:r>
      <w:r w:rsidR="00EF4FFC" w:rsidRPr="00EF4FFC">
        <w:rPr>
          <w:sz w:val="28"/>
          <w:szCs w:val="28"/>
        </w:rPr>
        <w:t>,0 тыс. руб.) у</w:t>
      </w:r>
      <w:r>
        <w:rPr>
          <w:sz w:val="28"/>
          <w:szCs w:val="28"/>
        </w:rPr>
        <w:t>меньшились</w:t>
      </w:r>
      <w:r w:rsidR="00EF4FFC" w:rsidRPr="00EF4FFC">
        <w:rPr>
          <w:sz w:val="28"/>
          <w:szCs w:val="28"/>
        </w:rPr>
        <w:t xml:space="preserve"> на </w:t>
      </w:r>
      <w:r>
        <w:rPr>
          <w:sz w:val="28"/>
          <w:szCs w:val="28"/>
        </w:rPr>
        <w:t>29547</w:t>
      </w:r>
      <w:r w:rsidR="00EF4FFC" w:rsidRPr="00EF4FFC">
        <w:rPr>
          <w:sz w:val="28"/>
          <w:szCs w:val="28"/>
        </w:rPr>
        <w:t xml:space="preserve">,0 тыс. руб. (или на </w:t>
      </w:r>
      <w:r>
        <w:rPr>
          <w:sz w:val="28"/>
          <w:szCs w:val="28"/>
        </w:rPr>
        <w:t>14,1</w:t>
      </w:r>
      <w:r w:rsidR="00EF4FFC" w:rsidRPr="00EF4FFC">
        <w:rPr>
          <w:sz w:val="28"/>
          <w:szCs w:val="28"/>
        </w:rPr>
        <w:t xml:space="preserve">%). </w:t>
      </w:r>
    </w:p>
    <w:p w:rsidR="00EF4FFC" w:rsidRPr="00EF4FFC" w:rsidRDefault="00EF4FFC" w:rsidP="00EF4FF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F4FFC" w:rsidRPr="00EF4FFC" w:rsidRDefault="00EF4FFC" w:rsidP="00EF4FF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F4FFC">
        <w:rPr>
          <w:b/>
          <w:bCs/>
          <w:color w:val="000000"/>
          <w:sz w:val="28"/>
          <w:szCs w:val="28"/>
        </w:rPr>
        <w:t>3. Общая оценка формирования расходной части бюджета</w:t>
      </w:r>
    </w:p>
    <w:p w:rsidR="00EF4FFC" w:rsidRPr="00EF4FFC" w:rsidRDefault="00EF4FFC" w:rsidP="00EF4FF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F4FFC">
        <w:rPr>
          <w:b/>
          <w:bCs/>
          <w:color w:val="000000"/>
          <w:sz w:val="28"/>
          <w:szCs w:val="28"/>
        </w:rPr>
        <w:t>городского округа Котельники Московской области</w:t>
      </w:r>
    </w:p>
    <w:p w:rsidR="005A085A" w:rsidRPr="00490BDB" w:rsidRDefault="005A085A" w:rsidP="005A085A">
      <w:pPr>
        <w:ind w:firstLine="540"/>
        <w:jc w:val="both"/>
        <w:rPr>
          <w:sz w:val="28"/>
          <w:szCs w:val="28"/>
        </w:rPr>
      </w:pPr>
      <w:r w:rsidRPr="00490BDB">
        <w:rPr>
          <w:sz w:val="28"/>
          <w:szCs w:val="28"/>
        </w:rPr>
        <w:t>В ходе исполнения бюджета городского округа Котельники за 2013 год были приняты 1</w:t>
      </w:r>
      <w:r>
        <w:rPr>
          <w:sz w:val="28"/>
          <w:szCs w:val="28"/>
        </w:rPr>
        <w:t>8</w:t>
      </w:r>
      <w:r w:rsidRPr="00490BDB">
        <w:rPr>
          <w:sz w:val="28"/>
          <w:szCs w:val="28"/>
        </w:rPr>
        <w:t xml:space="preserve"> изменений в </w:t>
      </w:r>
      <w:r w:rsidR="00F93D74" w:rsidRPr="004F38FB">
        <w:rPr>
          <w:sz w:val="28"/>
          <w:szCs w:val="28"/>
        </w:rPr>
        <w:t>Решение Совета депутатов городского округа Котельники Московской области от 19.12.2012 № 407/53 «О бюджете городского округа Котельники Московской области на 2013»</w:t>
      </w:r>
      <w:r w:rsidRPr="00490BDB">
        <w:rPr>
          <w:sz w:val="28"/>
          <w:szCs w:val="28"/>
        </w:rPr>
        <w:t xml:space="preserve">. </w:t>
      </w:r>
    </w:p>
    <w:p w:rsidR="00155E35" w:rsidRDefault="005A085A" w:rsidP="00155E35">
      <w:pPr>
        <w:ind w:firstLine="540"/>
        <w:jc w:val="both"/>
        <w:rPr>
          <w:sz w:val="28"/>
          <w:szCs w:val="28"/>
        </w:rPr>
      </w:pPr>
      <w:proofErr w:type="gramStart"/>
      <w:r w:rsidRPr="00592D10">
        <w:rPr>
          <w:sz w:val="28"/>
          <w:szCs w:val="28"/>
        </w:rPr>
        <w:t xml:space="preserve">В результате сумма расходов была увеличена по сравнению с первоначальной на </w:t>
      </w:r>
      <w:r w:rsidR="00592D10" w:rsidRPr="00592D10">
        <w:rPr>
          <w:sz w:val="28"/>
          <w:szCs w:val="28"/>
        </w:rPr>
        <w:t>4,22</w:t>
      </w:r>
      <w:r w:rsidRPr="00592D10">
        <w:rPr>
          <w:sz w:val="28"/>
          <w:szCs w:val="28"/>
        </w:rPr>
        <w:t>% и утверждена в размере  </w:t>
      </w:r>
      <w:r w:rsidR="00592D10" w:rsidRPr="00592D10">
        <w:rPr>
          <w:color w:val="000000"/>
          <w:sz w:val="28"/>
          <w:szCs w:val="28"/>
        </w:rPr>
        <w:t>1251113,2</w:t>
      </w:r>
      <w:r w:rsidRPr="00592D10">
        <w:rPr>
          <w:sz w:val="28"/>
          <w:szCs w:val="28"/>
        </w:rPr>
        <w:t xml:space="preserve"> тыс. руб. В соответствии с отчетом об исполнении бюджета за 2013 год кассовое исполнение бюджета составило </w:t>
      </w:r>
      <w:r w:rsidR="00592D10" w:rsidRPr="00592D10">
        <w:rPr>
          <w:sz w:val="28"/>
          <w:szCs w:val="28"/>
        </w:rPr>
        <w:t>995152,0</w:t>
      </w:r>
      <w:r w:rsidRPr="00592D10">
        <w:rPr>
          <w:sz w:val="28"/>
          <w:szCs w:val="28"/>
        </w:rPr>
        <w:t xml:space="preserve"> тыс. руб. или </w:t>
      </w:r>
      <w:r w:rsidR="00592D10" w:rsidRPr="00592D10">
        <w:rPr>
          <w:sz w:val="28"/>
          <w:szCs w:val="28"/>
        </w:rPr>
        <w:t>79,5</w:t>
      </w:r>
      <w:r w:rsidRPr="00592D10">
        <w:rPr>
          <w:sz w:val="28"/>
          <w:szCs w:val="28"/>
        </w:rPr>
        <w:t>% к уточненному плану, а по сравнению с первоначально утвержденными параметрами (</w:t>
      </w:r>
      <w:r w:rsidR="00592D10" w:rsidRPr="00592D10">
        <w:rPr>
          <w:sz w:val="28"/>
          <w:szCs w:val="28"/>
        </w:rPr>
        <w:t>1200454</w:t>
      </w:r>
      <w:r w:rsidRPr="00592D10">
        <w:rPr>
          <w:sz w:val="28"/>
          <w:szCs w:val="28"/>
        </w:rPr>
        <w:t xml:space="preserve">,00 тыс. руб.) расходы исполнены на </w:t>
      </w:r>
      <w:r w:rsidR="00592D10" w:rsidRPr="00592D10">
        <w:rPr>
          <w:sz w:val="28"/>
          <w:szCs w:val="28"/>
        </w:rPr>
        <w:t>82,9</w:t>
      </w:r>
      <w:r w:rsidRPr="00592D10">
        <w:rPr>
          <w:sz w:val="28"/>
          <w:szCs w:val="28"/>
        </w:rPr>
        <w:t>%.</w:t>
      </w:r>
      <w:r w:rsidR="00155E35" w:rsidRPr="00155E35">
        <w:rPr>
          <w:sz w:val="28"/>
          <w:szCs w:val="28"/>
        </w:rPr>
        <w:t xml:space="preserve"> </w:t>
      </w:r>
      <w:proofErr w:type="gramEnd"/>
    </w:p>
    <w:p w:rsidR="00155E35" w:rsidRDefault="00155E35" w:rsidP="00155E35">
      <w:pPr>
        <w:ind w:firstLine="540"/>
        <w:jc w:val="both"/>
        <w:rPr>
          <w:sz w:val="28"/>
          <w:szCs w:val="28"/>
        </w:rPr>
      </w:pPr>
      <w:r w:rsidRPr="00EF4FFC">
        <w:rPr>
          <w:sz w:val="28"/>
          <w:szCs w:val="28"/>
        </w:rPr>
        <w:t>Сравнительный анализ расходов бюджета за 201</w:t>
      </w:r>
      <w:r>
        <w:rPr>
          <w:sz w:val="28"/>
          <w:szCs w:val="28"/>
        </w:rPr>
        <w:t>3</w:t>
      </w:r>
      <w:r w:rsidRPr="00EF4FFC">
        <w:rPr>
          <w:sz w:val="28"/>
          <w:szCs w:val="28"/>
        </w:rPr>
        <w:t xml:space="preserve"> год по разделам  (подразделам) представлен  в таблице:</w:t>
      </w:r>
    </w:p>
    <w:p w:rsidR="005E5E8C" w:rsidRDefault="005E5E8C" w:rsidP="00155E35">
      <w:pPr>
        <w:ind w:firstLine="540"/>
        <w:jc w:val="both"/>
        <w:rPr>
          <w:sz w:val="28"/>
          <w:szCs w:val="28"/>
        </w:rPr>
      </w:pPr>
    </w:p>
    <w:p w:rsidR="005E5E8C" w:rsidRDefault="005E5E8C" w:rsidP="00155E35">
      <w:pPr>
        <w:ind w:firstLine="540"/>
        <w:jc w:val="both"/>
        <w:rPr>
          <w:sz w:val="28"/>
          <w:szCs w:val="28"/>
        </w:rPr>
      </w:pPr>
    </w:p>
    <w:p w:rsidR="005E5E8C" w:rsidRDefault="005E5E8C" w:rsidP="00155E35">
      <w:pPr>
        <w:ind w:firstLine="540"/>
        <w:jc w:val="both"/>
        <w:rPr>
          <w:sz w:val="28"/>
          <w:szCs w:val="28"/>
        </w:rPr>
      </w:pPr>
    </w:p>
    <w:p w:rsidR="00155E35" w:rsidRPr="00EF4FFC" w:rsidRDefault="00155E35" w:rsidP="00155E35">
      <w:pPr>
        <w:ind w:firstLine="540"/>
        <w:jc w:val="right"/>
        <w:rPr>
          <w:sz w:val="28"/>
          <w:szCs w:val="28"/>
        </w:rPr>
      </w:pPr>
      <w:r w:rsidRPr="00EF4FFC">
        <w:lastRenderedPageBreak/>
        <w:t>тыс. руб.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3"/>
        <w:gridCol w:w="1134"/>
        <w:gridCol w:w="992"/>
        <w:gridCol w:w="992"/>
        <w:gridCol w:w="709"/>
        <w:gridCol w:w="992"/>
        <w:gridCol w:w="709"/>
        <w:gridCol w:w="992"/>
        <w:gridCol w:w="709"/>
      </w:tblGrid>
      <w:tr w:rsidR="00592D10" w:rsidTr="00C6198C">
        <w:trPr>
          <w:trHeight w:val="330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92D10" w:rsidRDefault="00592D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92D10" w:rsidRDefault="00592D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Исполнение за 2012 год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92D10" w:rsidRDefault="00592D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Первоначальный план на 2013 года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92D10" w:rsidRDefault="00592D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Уточненный план на 2013 год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92D10" w:rsidRDefault="00592D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Исполнение за 2013 год</w:t>
            </w:r>
          </w:p>
        </w:tc>
        <w:tc>
          <w:tcPr>
            <w:tcW w:w="5103" w:type="dxa"/>
            <w:gridSpan w:val="6"/>
            <w:shd w:val="clear" w:color="auto" w:fill="D9D9D9" w:themeFill="background1" w:themeFillShade="D9"/>
            <w:vAlign w:val="center"/>
            <w:hideMark/>
          </w:tcPr>
          <w:p w:rsidR="00592D10" w:rsidRDefault="00592D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Отклонение исполнения </w:t>
            </w:r>
          </w:p>
        </w:tc>
      </w:tr>
      <w:tr w:rsidR="00C6198C" w:rsidTr="00C6198C">
        <w:trPr>
          <w:trHeight w:val="48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  <w:hideMark/>
          </w:tcPr>
          <w:p w:rsidR="00C6198C" w:rsidRDefault="00C61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  <w:hideMark/>
          </w:tcPr>
          <w:p w:rsidR="00C6198C" w:rsidRDefault="00C61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  <w:hideMark/>
          </w:tcPr>
          <w:p w:rsidR="00C6198C" w:rsidRDefault="00C61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C6198C" w:rsidRDefault="00C61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  <w:hideMark/>
          </w:tcPr>
          <w:p w:rsidR="00C6198C" w:rsidRDefault="00C61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6198C" w:rsidRDefault="00C619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 показателям 2012 года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  <w:hideMark/>
          </w:tcPr>
          <w:p w:rsidR="00C6198C" w:rsidRDefault="00C619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 первоначальному плану 2013 года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  <w:hideMark/>
          </w:tcPr>
          <w:p w:rsidR="00C6198C" w:rsidRDefault="00C619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 уточненному плану 2013 года</w:t>
            </w:r>
          </w:p>
        </w:tc>
      </w:tr>
      <w:tr w:rsidR="00592D10" w:rsidTr="00C6198C">
        <w:trPr>
          <w:trHeight w:val="315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  <w:hideMark/>
          </w:tcPr>
          <w:p w:rsidR="00592D10" w:rsidRDefault="00592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  <w:hideMark/>
          </w:tcPr>
          <w:p w:rsidR="00592D10" w:rsidRDefault="00592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  <w:hideMark/>
          </w:tcPr>
          <w:p w:rsidR="00592D10" w:rsidRDefault="00592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592D10" w:rsidRDefault="00592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  <w:hideMark/>
          </w:tcPr>
          <w:p w:rsidR="00592D10" w:rsidRDefault="00592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592D10" w:rsidRDefault="00592D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592D10" w:rsidRDefault="00C619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%/раз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592D10" w:rsidRDefault="00592D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592D10" w:rsidRDefault="00592D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%/раз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592D10" w:rsidRDefault="00592D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592D10" w:rsidRDefault="00C619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%/раз</w:t>
            </w:r>
          </w:p>
        </w:tc>
      </w:tr>
      <w:tr w:rsidR="00592D10" w:rsidTr="00C6198C">
        <w:trPr>
          <w:trHeight w:val="315"/>
        </w:trPr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592D10" w:rsidRDefault="00592D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592D10" w:rsidRDefault="00592D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592D10" w:rsidRDefault="00592D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592D10" w:rsidRDefault="00592D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592D10" w:rsidRDefault="00592D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592D10" w:rsidRDefault="00592D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592D10" w:rsidRDefault="00592D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592D10" w:rsidRDefault="00592D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592D10" w:rsidRDefault="00592D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592D10" w:rsidRDefault="00592D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592D10" w:rsidRDefault="00592D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E53916" w:rsidTr="00C6198C">
        <w:trPr>
          <w:trHeight w:val="494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92D10" w:rsidRDefault="00592D10" w:rsidP="007061B2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183154,0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253088,0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240679,0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229312,0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46158,0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23776,0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11367,0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95,3</w:t>
            </w:r>
          </w:p>
        </w:tc>
      </w:tr>
      <w:tr w:rsidR="00592D10" w:rsidTr="00C6198C">
        <w:trPr>
          <w:trHeight w:val="418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92D10" w:rsidRDefault="00592D10" w:rsidP="007061B2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1219,0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928,0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-291,0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1007,0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49,2</w:t>
            </w:r>
          </w:p>
        </w:tc>
      </w:tr>
      <w:tr w:rsidR="00592D10" w:rsidTr="00C6198C">
        <w:trPr>
          <w:trHeight w:val="1402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92D10" w:rsidRDefault="00592D10" w:rsidP="007061B2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3883,0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2643,0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-147,0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-1522,0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157,6</w:t>
            </w:r>
          </w:p>
        </w:tc>
      </w:tr>
      <w:tr w:rsidR="00592D10" w:rsidTr="00C6198C">
        <w:trPr>
          <w:trHeight w:val="360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92D10" w:rsidRDefault="00592D10" w:rsidP="007061B2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3156,0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7357,0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979,0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56,2</w:t>
            </w:r>
          </w:p>
        </w:tc>
      </w:tr>
      <w:tr w:rsidR="00592D10" w:rsidTr="00C6198C">
        <w:trPr>
          <w:trHeight w:val="634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92D10" w:rsidRDefault="00592D10" w:rsidP="007061B2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101101,0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153290,0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143911,0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142821,0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41720,0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10469,0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99,2</w:t>
            </w:r>
          </w:p>
        </w:tc>
      </w:tr>
      <w:tr w:rsidR="00592D10" w:rsidTr="00C6198C">
        <w:trPr>
          <w:trHeight w:val="545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92D10" w:rsidRDefault="00592D10" w:rsidP="007061B2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92D10" w:rsidTr="00C6198C">
        <w:trPr>
          <w:trHeight w:val="186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92D10" w:rsidRDefault="00592D10" w:rsidP="007061B2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423889,0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631726,0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675383,0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451363,0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27474,0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180363,0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224020,0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66,8</w:t>
            </w:r>
          </w:p>
        </w:tc>
      </w:tr>
      <w:tr w:rsidR="00592D10" w:rsidTr="00C6198C">
        <w:trPr>
          <w:trHeight w:val="1238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92D10" w:rsidRDefault="00592D10" w:rsidP="007061B2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Культура. Кинематография и средства массовой информации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56116,0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60585,0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65423,0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65498,0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9382,0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-4913,0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</w:t>
            </w:r>
          </w:p>
        </w:tc>
      </w:tr>
      <w:tr w:rsidR="00592D10" w:rsidTr="00C6198C">
        <w:trPr>
          <w:trHeight w:val="26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92D10" w:rsidRDefault="00592D10" w:rsidP="007061B2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62309,0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42207,0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40848,0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-21461,0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-2845,0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96,8</w:t>
            </w:r>
          </w:p>
        </w:tc>
      </w:tr>
      <w:tr w:rsidR="00592D10" w:rsidTr="00C6198C">
        <w:trPr>
          <w:trHeight w:val="397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92D10" w:rsidRDefault="00592D10" w:rsidP="007061B2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18342,0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18117,0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37231,2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22211,0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3869,0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-4094,0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15020,2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59,7</w:t>
            </w:r>
          </w:p>
        </w:tc>
      </w:tr>
      <w:tr w:rsidR="00592D10" w:rsidTr="00C6198C">
        <w:trPr>
          <w:trHeight w:val="531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92D10" w:rsidRDefault="00592D10" w:rsidP="007061B2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26753,0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27911,0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27888,0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-738,0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592D10" w:rsidTr="00C6198C">
        <w:trPr>
          <w:trHeight w:val="739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92D10" w:rsidRDefault="00592D10" w:rsidP="007061B2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9735,0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5383,0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5383,0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-4352,0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92D10" w:rsidTr="00C6198C">
        <w:trPr>
          <w:trHeight w:val="315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92D10" w:rsidRDefault="007061B2" w:rsidP="007061B2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Обслуживание </w:t>
            </w:r>
            <w:proofErr w:type="spellStart"/>
            <w:r>
              <w:rPr>
                <w:color w:val="000000"/>
                <w:sz w:val="18"/>
                <w:szCs w:val="18"/>
              </w:rPr>
              <w:t>госуд</w:t>
            </w:r>
            <w:proofErr w:type="spellEnd"/>
            <w:r>
              <w:rPr>
                <w:color w:val="000000"/>
                <w:sz w:val="18"/>
                <w:szCs w:val="18"/>
              </w:rPr>
              <w:t>. и муниципального долга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92D10" w:rsidRDefault="00592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2D10" w:rsidTr="00C6198C">
        <w:trPr>
          <w:trHeight w:val="495"/>
        </w:trPr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592D10" w:rsidRPr="005E5E8C" w:rsidRDefault="00592D10" w:rsidP="007061B2">
            <w:pPr>
              <w:spacing w:before="120"/>
              <w:ind w:left="-108"/>
              <w:rPr>
                <w:b/>
                <w:color w:val="000000"/>
                <w:sz w:val="18"/>
                <w:szCs w:val="18"/>
              </w:rPr>
            </w:pPr>
            <w:r w:rsidRPr="005E5E8C">
              <w:rPr>
                <w:b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592D10" w:rsidRPr="005E5E8C" w:rsidRDefault="00592D10" w:rsidP="00155E35">
            <w:pPr>
              <w:spacing w:before="120"/>
              <w:jc w:val="right"/>
              <w:rPr>
                <w:b/>
                <w:color w:val="000000"/>
                <w:sz w:val="18"/>
                <w:szCs w:val="18"/>
              </w:rPr>
            </w:pPr>
            <w:r w:rsidRPr="005E5E8C">
              <w:rPr>
                <w:b/>
                <w:color w:val="000000"/>
                <w:sz w:val="18"/>
                <w:szCs w:val="18"/>
              </w:rPr>
              <w:t>889657,0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592D10" w:rsidRPr="005E5E8C" w:rsidRDefault="00592D10" w:rsidP="00155E35">
            <w:pPr>
              <w:spacing w:before="120"/>
              <w:jc w:val="right"/>
              <w:rPr>
                <w:b/>
                <w:color w:val="000000"/>
                <w:sz w:val="18"/>
                <w:szCs w:val="18"/>
              </w:rPr>
            </w:pPr>
            <w:r w:rsidRPr="005E5E8C">
              <w:rPr>
                <w:b/>
                <w:color w:val="000000"/>
                <w:sz w:val="18"/>
                <w:szCs w:val="18"/>
              </w:rPr>
              <w:t>1200545,0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592D10" w:rsidRPr="005E5E8C" w:rsidRDefault="00592D10" w:rsidP="00155E35">
            <w:pPr>
              <w:spacing w:before="120"/>
              <w:jc w:val="right"/>
              <w:rPr>
                <w:b/>
                <w:color w:val="000000"/>
                <w:sz w:val="18"/>
                <w:szCs w:val="18"/>
              </w:rPr>
            </w:pPr>
            <w:r w:rsidRPr="005E5E8C">
              <w:rPr>
                <w:b/>
                <w:color w:val="000000"/>
                <w:sz w:val="18"/>
                <w:szCs w:val="18"/>
              </w:rPr>
              <w:t>1251113,2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592D10" w:rsidRPr="005E5E8C" w:rsidRDefault="00592D10" w:rsidP="00155E35">
            <w:pPr>
              <w:spacing w:before="120"/>
              <w:jc w:val="right"/>
              <w:rPr>
                <w:b/>
                <w:color w:val="000000"/>
                <w:sz w:val="18"/>
                <w:szCs w:val="18"/>
              </w:rPr>
            </w:pPr>
            <w:r w:rsidRPr="005E5E8C">
              <w:rPr>
                <w:b/>
                <w:color w:val="000000"/>
                <w:sz w:val="18"/>
                <w:szCs w:val="18"/>
              </w:rPr>
              <w:t>995152,0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592D10" w:rsidRPr="005E5E8C" w:rsidRDefault="00592D10" w:rsidP="00155E35">
            <w:pPr>
              <w:spacing w:before="120"/>
              <w:jc w:val="right"/>
              <w:rPr>
                <w:b/>
                <w:color w:val="000000"/>
                <w:sz w:val="18"/>
                <w:szCs w:val="18"/>
              </w:rPr>
            </w:pPr>
            <w:r w:rsidRPr="005E5E8C">
              <w:rPr>
                <w:b/>
                <w:color w:val="000000"/>
                <w:sz w:val="18"/>
                <w:szCs w:val="18"/>
              </w:rPr>
              <w:t>105495,0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592D10" w:rsidRPr="005E5E8C" w:rsidRDefault="00592D10" w:rsidP="00155E35">
            <w:pPr>
              <w:spacing w:before="120"/>
              <w:jc w:val="right"/>
              <w:rPr>
                <w:b/>
                <w:color w:val="000000"/>
                <w:sz w:val="18"/>
                <w:szCs w:val="18"/>
              </w:rPr>
            </w:pPr>
            <w:r w:rsidRPr="005E5E8C">
              <w:rPr>
                <w:b/>
                <w:color w:val="000000"/>
                <w:sz w:val="18"/>
                <w:szCs w:val="18"/>
              </w:rPr>
              <w:t>111,9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592D10" w:rsidRPr="005E5E8C" w:rsidRDefault="00592D10" w:rsidP="00155E35">
            <w:pPr>
              <w:spacing w:before="120"/>
              <w:jc w:val="right"/>
              <w:rPr>
                <w:b/>
                <w:color w:val="000000"/>
                <w:sz w:val="18"/>
                <w:szCs w:val="18"/>
              </w:rPr>
            </w:pPr>
            <w:r w:rsidRPr="005E5E8C">
              <w:rPr>
                <w:b/>
                <w:color w:val="000000"/>
                <w:sz w:val="18"/>
                <w:szCs w:val="18"/>
              </w:rPr>
              <w:t>205393,0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592D10" w:rsidRPr="005E5E8C" w:rsidRDefault="00592D10" w:rsidP="00155E35">
            <w:pPr>
              <w:spacing w:before="120"/>
              <w:jc w:val="right"/>
              <w:rPr>
                <w:b/>
                <w:color w:val="000000"/>
                <w:sz w:val="18"/>
                <w:szCs w:val="18"/>
              </w:rPr>
            </w:pPr>
            <w:r w:rsidRPr="005E5E8C">
              <w:rPr>
                <w:b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592D10" w:rsidRPr="005E5E8C" w:rsidRDefault="00592D10" w:rsidP="00155E35">
            <w:pPr>
              <w:spacing w:before="120"/>
              <w:jc w:val="right"/>
              <w:rPr>
                <w:b/>
                <w:color w:val="000000"/>
                <w:sz w:val="18"/>
                <w:szCs w:val="18"/>
              </w:rPr>
            </w:pPr>
            <w:r w:rsidRPr="005E5E8C">
              <w:rPr>
                <w:b/>
                <w:color w:val="000000"/>
                <w:sz w:val="18"/>
                <w:szCs w:val="18"/>
              </w:rPr>
              <w:t>255961,2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592D10" w:rsidRPr="005E5E8C" w:rsidRDefault="00592D10" w:rsidP="00155E35">
            <w:pPr>
              <w:spacing w:before="120"/>
              <w:jc w:val="right"/>
              <w:rPr>
                <w:b/>
                <w:color w:val="000000"/>
                <w:sz w:val="18"/>
                <w:szCs w:val="18"/>
              </w:rPr>
            </w:pPr>
            <w:r w:rsidRPr="005E5E8C">
              <w:rPr>
                <w:b/>
                <w:color w:val="000000"/>
                <w:sz w:val="18"/>
                <w:szCs w:val="18"/>
              </w:rPr>
              <w:t>79,5</w:t>
            </w:r>
          </w:p>
        </w:tc>
      </w:tr>
    </w:tbl>
    <w:p w:rsidR="00592D10" w:rsidRPr="00EF4FFC" w:rsidRDefault="00592D10" w:rsidP="00155E35">
      <w:pPr>
        <w:spacing w:before="240"/>
        <w:ind w:firstLine="539"/>
        <w:jc w:val="both"/>
        <w:rPr>
          <w:i/>
          <w:sz w:val="28"/>
          <w:szCs w:val="28"/>
        </w:rPr>
      </w:pPr>
      <w:r w:rsidRPr="00EF4FFC">
        <w:rPr>
          <w:i/>
          <w:sz w:val="28"/>
          <w:szCs w:val="28"/>
        </w:rPr>
        <w:t>Анализ исполнения расходов 201</w:t>
      </w:r>
      <w:r>
        <w:rPr>
          <w:i/>
          <w:sz w:val="28"/>
          <w:szCs w:val="28"/>
        </w:rPr>
        <w:t>3</w:t>
      </w:r>
      <w:r w:rsidRPr="00EF4FFC">
        <w:rPr>
          <w:i/>
          <w:sz w:val="28"/>
          <w:szCs w:val="28"/>
        </w:rPr>
        <w:t xml:space="preserve"> года по разделам функциональной классификации относительно 201</w:t>
      </w:r>
      <w:r>
        <w:rPr>
          <w:i/>
          <w:sz w:val="28"/>
          <w:szCs w:val="28"/>
        </w:rPr>
        <w:t>2</w:t>
      </w:r>
      <w:r w:rsidRPr="00EF4FFC">
        <w:rPr>
          <w:i/>
          <w:sz w:val="28"/>
          <w:szCs w:val="28"/>
        </w:rPr>
        <w:t xml:space="preserve"> года.</w:t>
      </w:r>
    </w:p>
    <w:p w:rsidR="0024277C" w:rsidRDefault="0024277C" w:rsidP="00592D10">
      <w:pPr>
        <w:ind w:firstLine="539"/>
        <w:jc w:val="both"/>
        <w:rPr>
          <w:sz w:val="28"/>
          <w:szCs w:val="28"/>
        </w:rPr>
      </w:pPr>
      <w:proofErr w:type="gramStart"/>
      <w:r w:rsidRPr="00EF4FFC">
        <w:rPr>
          <w:sz w:val="28"/>
          <w:szCs w:val="28"/>
        </w:rPr>
        <w:t xml:space="preserve">По разделу </w:t>
      </w:r>
      <w:r w:rsidRPr="00EF4FFC">
        <w:rPr>
          <w:sz w:val="28"/>
          <w:szCs w:val="28"/>
          <w:u w:val="single"/>
        </w:rPr>
        <w:t>«Жилищно-коммунальное хозяйство»</w:t>
      </w:r>
      <w:r w:rsidRPr="00EF4FFC">
        <w:rPr>
          <w:sz w:val="28"/>
          <w:szCs w:val="28"/>
        </w:rPr>
        <w:t xml:space="preserve"> согласно данным отч</w:t>
      </w:r>
      <w:r w:rsidR="00EE2C86">
        <w:rPr>
          <w:sz w:val="28"/>
          <w:szCs w:val="28"/>
        </w:rPr>
        <w:t>е</w:t>
      </w:r>
      <w:r w:rsidRPr="00EF4FFC">
        <w:rPr>
          <w:sz w:val="28"/>
          <w:szCs w:val="28"/>
        </w:rPr>
        <w:t xml:space="preserve">та расходы составили  </w:t>
      </w:r>
      <w:r>
        <w:rPr>
          <w:sz w:val="28"/>
          <w:szCs w:val="28"/>
        </w:rPr>
        <w:t>142821</w:t>
      </w:r>
      <w:r w:rsidR="00EE2C86">
        <w:rPr>
          <w:sz w:val="28"/>
          <w:szCs w:val="28"/>
        </w:rPr>
        <w:t>,0 тыс. руб.,</w:t>
      </w:r>
      <w:r w:rsidRPr="00EF4FFC">
        <w:rPr>
          <w:sz w:val="28"/>
          <w:szCs w:val="28"/>
        </w:rPr>
        <w:t xml:space="preserve"> относительно 201</w:t>
      </w:r>
      <w:r>
        <w:rPr>
          <w:sz w:val="28"/>
          <w:szCs w:val="28"/>
        </w:rPr>
        <w:t>2</w:t>
      </w:r>
      <w:r w:rsidRPr="00EF4FFC">
        <w:rPr>
          <w:sz w:val="28"/>
          <w:szCs w:val="28"/>
        </w:rPr>
        <w:t xml:space="preserve"> года  расходы  увеличились на </w:t>
      </w:r>
      <w:r>
        <w:rPr>
          <w:sz w:val="28"/>
          <w:szCs w:val="28"/>
        </w:rPr>
        <w:t>41720</w:t>
      </w:r>
      <w:r w:rsidRPr="00EF4FFC">
        <w:rPr>
          <w:sz w:val="28"/>
          <w:szCs w:val="28"/>
        </w:rPr>
        <w:t xml:space="preserve">,0 тыс. руб. или на </w:t>
      </w:r>
      <w:r>
        <w:rPr>
          <w:sz w:val="28"/>
          <w:szCs w:val="28"/>
        </w:rPr>
        <w:t>141,3</w:t>
      </w:r>
      <w:r w:rsidRPr="00EF4FFC">
        <w:rPr>
          <w:sz w:val="28"/>
          <w:szCs w:val="28"/>
        </w:rPr>
        <w:t>%. Рост расходов связан с комплексным развитием системы коммунальной инфраструктуры городского округа Котельники, строительством и содержанием автомобильных дорог и инженерных сооружений на них в границах городских округов в рамках благоустройства.</w:t>
      </w:r>
      <w:proofErr w:type="gramEnd"/>
    </w:p>
    <w:p w:rsidR="00490D26" w:rsidRDefault="0024277C" w:rsidP="00490D26">
      <w:pPr>
        <w:ind w:firstLine="539"/>
        <w:jc w:val="both"/>
        <w:rPr>
          <w:sz w:val="28"/>
          <w:szCs w:val="28"/>
        </w:rPr>
      </w:pPr>
      <w:r w:rsidRPr="00EF4FFC">
        <w:rPr>
          <w:sz w:val="28"/>
          <w:szCs w:val="28"/>
        </w:rPr>
        <w:lastRenderedPageBreak/>
        <w:t xml:space="preserve">По разделу </w:t>
      </w:r>
      <w:r w:rsidRPr="00EF4FFC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Национальная экономика</w:t>
      </w:r>
      <w:r w:rsidRPr="00EF4FFC">
        <w:rPr>
          <w:sz w:val="28"/>
          <w:szCs w:val="28"/>
          <w:u w:val="single"/>
        </w:rPr>
        <w:t>»</w:t>
      </w:r>
      <w:r w:rsidRPr="00EF4FFC">
        <w:rPr>
          <w:sz w:val="28"/>
          <w:szCs w:val="28"/>
        </w:rPr>
        <w:t xml:space="preserve"> согласно данным отч</w:t>
      </w:r>
      <w:r>
        <w:rPr>
          <w:sz w:val="28"/>
          <w:szCs w:val="28"/>
        </w:rPr>
        <w:t>е</w:t>
      </w:r>
      <w:r w:rsidRPr="00EF4FFC">
        <w:rPr>
          <w:sz w:val="28"/>
          <w:szCs w:val="28"/>
        </w:rPr>
        <w:t xml:space="preserve">та расходы составили  </w:t>
      </w:r>
      <w:r w:rsidR="00490D26">
        <w:rPr>
          <w:sz w:val="28"/>
          <w:szCs w:val="28"/>
        </w:rPr>
        <w:t>4</w:t>
      </w:r>
      <w:r w:rsidR="00074EDF">
        <w:rPr>
          <w:sz w:val="28"/>
          <w:szCs w:val="28"/>
        </w:rPr>
        <w:t>1</w:t>
      </w:r>
      <w:r w:rsidR="00490D26">
        <w:rPr>
          <w:sz w:val="28"/>
          <w:szCs w:val="28"/>
        </w:rPr>
        <w:t>35</w:t>
      </w:r>
      <w:r w:rsidRPr="00EF4FFC">
        <w:rPr>
          <w:sz w:val="28"/>
          <w:szCs w:val="28"/>
        </w:rPr>
        <w:t>,0 тыс. руб</w:t>
      </w:r>
      <w:r w:rsidR="00EE2C86">
        <w:rPr>
          <w:sz w:val="28"/>
          <w:szCs w:val="28"/>
        </w:rPr>
        <w:t>.</w:t>
      </w:r>
      <w:r w:rsidRPr="00EF4FFC">
        <w:rPr>
          <w:sz w:val="28"/>
          <w:szCs w:val="28"/>
        </w:rPr>
        <w:t>, относительно 201</w:t>
      </w:r>
      <w:r>
        <w:rPr>
          <w:sz w:val="28"/>
          <w:szCs w:val="28"/>
        </w:rPr>
        <w:t>2</w:t>
      </w:r>
      <w:r w:rsidRPr="00EF4FFC">
        <w:rPr>
          <w:sz w:val="28"/>
          <w:szCs w:val="28"/>
        </w:rPr>
        <w:t xml:space="preserve"> года  расходы  увеличились на </w:t>
      </w:r>
      <w:r w:rsidR="00490D26">
        <w:rPr>
          <w:sz w:val="28"/>
          <w:szCs w:val="28"/>
        </w:rPr>
        <w:t>979</w:t>
      </w:r>
      <w:r w:rsidRPr="00EF4FFC">
        <w:rPr>
          <w:sz w:val="28"/>
          <w:szCs w:val="28"/>
        </w:rPr>
        <w:t xml:space="preserve">,0 тыс. руб. или на </w:t>
      </w:r>
      <w:r w:rsidR="00490D26">
        <w:rPr>
          <w:sz w:val="28"/>
          <w:szCs w:val="28"/>
        </w:rPr>
        <w:t>131,0</w:t>
      </w:r>
      <w:r w:rsidRPr="00EF4FFC">
        <w:rPr>
          <w:sz w:val="28"/>
          <w:szCs w:val="28"/>
        </w:rPr>
        <w:t xml:space="preserve">%. </w:t>
      </w:r>
    </w:p>
    <w:p w:rsidR="00490D26" w:rsidRDefault="00490D26" w:rsidP="00490D26">
      <w:pPr>
        <w:ind w:firstLine="539"/>
        <w:jc w:val="both"/>
        <w:rPr>
          <w:sz w:val="28"/>
          <w:szCs w:val="28"/>
        </w:rPr>
      </w:pPr>
      <w:r w:rsidRPr="00EF4FFC">
        <w:rPr>
          <w:sz w:val="28"/>
          <w:szCs w:val="28"/>
        </w:rPr>
        <w:t xml:space="preserve">По разделу </w:t>
      </w:r>
      <w:r w:rsidRPr="00EF4FFC">
        <w:rPr>
          <w:sz w:val="28"/>
          <w:szCs w:val="28"/>
          <w:u w:val="single"/>
        </w:rPr>
        <w:t>«Общегосударственные вопросы»</w:t>
      </w:r>
      <w:r w:rsidRPr="00EF4FFC">
        <w:rPr>
          <w:sz w:val="28"/>
          <w:szCs w:val="28"/>
        </w:rPr>
        <w:t xml:space="preserve"> согласно данным отч</w:t>
      </w:r>
      <w:r>
        <w:rPr>
          <w:sz w:val="28"/>
          <w:szCs w:val="28"/>
        </w:rPr>
        <w:t>е</w:t>
      </w:r>
      <w:r w:rsidRPr="00EF4FFC">
        <w:rPr>
          <w:sz w:val="28"/>
          <w:szCs w:val="28"/>
        </w:rPr>
        <w:t xml:space="preserve">та расходы составили  </w:t>
      </w:r>
      <w:r>
        <w:rPr>
          <w:sz w:val="28"/>
          <w:szCs w:val="28"/>
        </w:rPr>
        <w:t>229312</w:t>
      </w:r>
      <w:r w:rsidRPr="00EF4FFC">
        <w:rPr>
          <w:sz w:val="28"/>
          <w:szCs w:val="28"/>
        </w:rPr>
        <w:t>,0 тыс. руб</w:t>
      </w:r>
      <w:r w:rsidR="00EE2C86">
        <w:rPr>
          <w:sz w:val="28"/>
          <w:szCs w:val="28"/>
        </w:rPr>
        <w:t>.</w:t>
      </w:r>
      <w:r w:rsidRPr="00EF4FFC">
        <w:rPr>
          <w:sz w:val="28"/>
          <w:szCs w:val="28"/>
        </w:rPr>
        <w:t>, относительно 201</w:t>
      </w:r>
      <w:r>
        <w:rPr>
          <w:sz w:val="28"/>
          <w:szCs w:val="28"/>
        </w:rPr>
        <w:t>2</w:t>
      </w:r>
      <w:r w:rsidRPr="00EF4FFC">
        <w:rPr>
          <w:sz w:val="28"/>
          <w:szCs w:val="28"/>
        </w:rPr>
        <w:t xml:space="preserve"> года  расходы  увеличились на 46</w:t>
      </w:r>
      <w:r>
        <w:rPr>
          <w:sz w:val="28"/>
          <w:szCs w:val="28"/>
        </w:rPr>
        <w:t>158</w:t>
      </w:r>
      <w:r w:rsidRPr="00EF4FFC">
        <w:rPr>
          <w:sz w:val="28"/>
          <w:szCs w:val="28"/>
        </w:rPr>
        <w:t xml:space="preserve">,0 тыс. руб. или на </w:t>
      </w:r>
      <w:r>
        <w:rPr>
          <w:sz w:val="28"/>
          <w:szCs w:val="28"/>
        </w:rPr>
        <w:t>125,2</w:t>
      </w:r>
      <w:r w:rsidRPr="00EF4FFC">
        <w:rPr>
          <w:sz w:val="28"/>
          <w:szCs w:val="28"/>
        </w:rPr>
        <w:t>%. Рост расходов связан с изменением штатной численности орган</w:t>
      </w:r>
      <w:r w:rsidR="00074EDF">
        <w:rPr>
          <w:sz w:val="28"/>
          <w:szCs w:val="28"/>
        </w:rPr>
        <w:t>ов</w:t>
      </w:r>
      <w:r w:rsidRPr="00EF4FFC">
        <w:rPr>
          <w:sz w:val="28"/>
          <w:szCs w:val="28"/>
        </w:rPr>
        <w:t xml:space="preserve"> местного самоуправление, ростом минимальной заработной платы и начислений на нее</w:t>
      </w:r>
      <w:r w:rsidR="00074EDF">
        <w:rPr>
          <w:sz w:val="28"/>
          <w:szCs w:val="28"/>
        </w:rPr>
        <w:t>.</w:t>
      </w:r>
      <w:r w:rsidRPr="00EF4FFC">
        <w:rPr>
          <w:sz w:val="28"/>
          <w:szCs w:val="28"/>
        </w:rPr>
        <w:t xml:space="preserve"> </w:t>
      </w:r>
    </w:p>
    <w:p w:rsidR="00490D26" w:rsidRPr="00EF4FFC" w:rsidRDefault="00490D26" w:rsidP="00490D26">
      <w:pPr>
        <w:ind w:firstLine="539"/>
        <w:jc w:val="both"/>
        <w:rPr>
          <w:sz w:val="28"/>
          <w:szCs w:val="28"/>
        </w:rPr>
      </w:pPr>
      <w:r w:rsidRPr="00EF4FFC">
        <w:rPr>
          <w:sz w:val="28"/>
          <w:szCs w:val="28"/>
        </w:rPr>
        <w:t xml:space="preserve">По разделу </w:t>
      </w:r>
      <w:r w:rsidRPr="00EF4FFC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Социальная политика</w:t>
      </w:r>
      <w:r w:rsidRPr="00EF4FFC">
        <w:rPr>
          <w:sz w:val="28"/>
          <w:szCs w:val="28"/>
          <w:u w:val="single"/>
        </w:rPr>
        <w:t>»</w:t>
      </w:r>
      <w:r w:rsidRPr="00EF4FFC">
        <w:rPr>
          <w:sz w:val="28"/>
          <w:szCs w:val="28"/>
        </w:rPr>
        <w:t xml:space="preserve"> согласно данным отч</w:t>
      </w:r>
      <w:r>
        <w:rPr>
          <w:sz w:val="28"/>
          <w:szCs w:val="28"/>
        </w:rPr>
        <w:t>е</w:t>
      </w:r>
      <w:r w:rsidRPr="00EF4FFC">
        <w:rPr>
          <w:sz w:val="28"/>
          <w:szCs w:val="28"/>
        </w:rPr>
        <w:t xml:space="preserve">та расходы составили  </w:t>
      </w:r>
      <w:r>
        <w:rPr>
          <w:sz w:val="28"/>
          <w:szCs w:val="28"/>
        </w:rPr>
        <w:t>222</w:t>
      </w:r>
      <w:r w:rsidR="00074ED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F4FFC">
        <w:rPr>
          <w:sz w:val="28"/>
          <w:szCs w:val="28"/>
        </w:rPr>
        <w:t>,0 тыс. руб</w:t>
      </w:r>
      <w:r w:rsidR="00EE2C86">
        <w:rPr>
          <w:sz w:val="28"/>
          <w:szCs w:val="28"/>
        </w:rPr>
        <w:t>.</w:t>
      </w:r>
      <w:r w:rsidRPr="00EF4FFC">
        <w:rPr>
          <w:sz w:val="28"/>
          <w:szCs w:val="28"/>
        </w:rPr>
        <w:t>, относительно 201</w:t>
      </w:r>
      <w:r>
        <w:rPr>
          <w:sz w:val="28"/>
          <w:szCs w:val="28"/>
        </w:rPr>
        <w:t>2</w:t>
      </w:r>
      <w:r w:rsidRPr="00EF4FFC">
        <w:rPr>
          <w:sz w:val="28"/>
          <w:szCs w:val="28"/>
        </w:rPr>
        <w:t xml:space="preserve"> года  расходы  увеличились на </w:t>
      </w:r>
      <w:r>
        <w:rPr>
          <w:sz w:val="28"/>
          <w:szCs w:val="28"/>
        </w:rPr>
        <w:t>3869</w:t>
      </w:r>
      <w:r w:rsidRPr="00EF4FFC">
        <w:rPr>
          <w:sz w:val="28"/>
          <w:szCs w:val="28"/>
        </w:rPr>
        <w:t xml:space="preserve">,0 тыс. руб. или на </w:t>
      </w:r>
      <w:r>
        <w:rPr>
          <w:sz w:val="28"/>
          <w:szCs w:val="28"/>
        </w:rPr>
        <w:t>121,1</w:t>
      </w:r>
      <w:r w:rsidRPr="00EF4FFC">
        <w:rPr>
          <w:sz w:val="28"/>
          <w:szCs w:val="28"/>
        </w:rPr>
        <w:t xml:space="preserve">%. Рост расходов связан с </w:t>
      </w:r>
      <w:r>
        <w:rPr>
          <w:sz w:val="28"/>
          <w:szCs w:val="28"/>
        </w:rPr>
        <w:t>увеличением социального и пенсионного обеспечения населения.</w:t>
      </w:r>
    </w:p>
    <w:p w:rsidR="00490D26" w:rsidRPr="00EF4FFC" w:rsidRDefault="00490D26" w:rsidP="00490D26">
      <w:pPr>
        <w:ind w:firstLine="539"/>
        <w:jc w:val="both"/>
        <w:rPr>
          <w:sz w:val="28"/>
          <w:szCs w:val="28"/>
        </w:rPr>
      </w:pPr>
      <w:r w:rsidRPr="00EF4FFC">
        <w:rPr>
          <w:sz w:val="28"/>
          <w:szCs w:val="28"/>
        </w:rPr>
        <w:t xml:space="preserve">По разделу </w:t>
      </w:r>
      <w:r w:rsidRPr="009A33B4">
        <w:rPr>
          <w:sz w:val="28"/>
          <w:szCs w:val="28"/>
          <w:u w:val="single"/>
        </w:rPr>
        <w:t>«</w:t>
      </w:r>
      <w:r w:rsidRPr="009A33B4">
        <w:rPr>
          <w:color w:val="000000"/>
          <w:sz w:val="28"/>
          <w:szCs w:val="28"/>
          <w:u w:val="single"/>
        </w:rPr>
        <w:t>Культура. Кинематография и средства массовой информации</w:t>
      </w:r>
      <w:r w:rsidRPr="009A33B4">
        <w:rPr>
          <w:sz w:val="28"/>
          <w:szCs w:val="28"/>
          <w:u w:val="single"/>
        </w:rPr>
        <w:t>»</w:t>
      </w:r>
      <w:r w:rsidRPr="00EF4FFC">
        <w:rPr>
          <w:sz w:val="28"/>
          <w:szCs w:val="28"/>
        </w:rPr>
        <w:t xml:space="preserve"> согласно данным отч</w:t>
      </w:r>
      <w:r>
        <w:rPr>
          <w:sz w:val="28"/>
          <w:szCs w:val="28"/>
        </w:rPr>
        <w:t>е</w:t>
      </w:r>
      <w:r w:rsidRPr="00EF4FFC">
        <w:rPr>
          <w:sz w:val="28"/>
          <w:szCs w:val="28"/>
        </w:rPr>
        <w:t xml:space="preserve">та расходы составили  </w:t>
      </w:r>
      <w:r>
        <w:rPr>
          <w:sz w:val="28"/>
          <w:szCs w:val="28"/>
        </w:rPr>
        <w:t>65498</w:t>
      </w:r>
      <w:r w:rsidRPr="00EF4FFC">
        <w:rPr>
          <w:sz w:val="28"/>
          <w:szCs w:val="28"/>
        </w:rPr>
        <w:t>,0 тыс. руб</w:t>
      </w:r>
      <w:r w:rsidR="00EE2C86">
        <w:rPr>
          <w:sz w:val="28"/>
          <w:szCs w:val="28"/>
        </w:rPr>
        <w:t>., о</w:t>
      </w:r>
      <w:r w:rsidRPr="00EF4FFC">
        <w:rPr>
          <w:sz w:val="28"/>
          <w:szCs w:val="28"/>
        </w:rPr>
        <w:t>тносительно 201</w:t>
      </w:r>
      <w:r>
        <w:rPr>
          <w:sz w:val="28"/>
          <w:szCs w:val="28"/>
        </w:rPr>
        <w:t>2</w:t>
      </w:r>
      <w:r w:rsidRPr="00EF4FFC">
        <w:rPr>
          <w:sz w:val="28"/>
          <w:szCs w:val="28"/>
        </w:rPr>
        <w:t xml:space="preserve"> года  расходы  увеличились на </w:t>
      </w:r>
      <w:r>
        <w:rPr>
          <w:sz w:val="28"/>
          <w:szCs w:val="28"/>
        </w:rPr>
        <w:t>9382</w:t>
      </w:r>
      <w:r w:rsidRPr="00EF4FFC">
        <w:rPr>
          <w:sz w:val="28"/>
          <w:szCs w:val="28"/>
        </w:rPr>
        <w:t xml:space="preserve">,0 тыс. руб. или на </w:t>
      </w:r>
      <w:r>
        <w:rPr>
          <w:sz w:val="28"/>
          <w:szCs w:val="28"/>
        </w:rPr>
        <w:t>116</w:t>
      </w:r>
      <w:r w:rsidRPr="00EF4FFC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EF4FFC">
        <w:rPr>
          <w:sz w:val="28"/>
          <w:szCs w:val="28"/>
        </w:rPr>
        <w:t xml:space="preserve">%.  </w:t>
      </w:r>
      <w:r w:rsidR="00DF456B" w:rsidRPr="00EF4FFC">
        <w:rPr>
          <w:sz w:val="28"/>
          <w:szCs w:val="28"/>
        </w:rPr>
        <w:t xml:space="preserve">Рост расходов связан с </w:t>
      </w:r>
      <w:r w:rsidR="00D80B2E">
        <w:rPr>
          <w:sz w:val="28"/>
          <w:szCs w:val="28"/>
        </w:rPr>
        <w:t>развитием культурно-досуговой сферы городского округа и</w:t>
      </w:r>
      <w:r w:rsidR="00DF456B" w:rsidRPr="00EF4FFC">
        <w:rPr>
          <w:sz w:val="28"/>
          <w:szCs w:val="28"/>
        </w:rPr>
        <w:t xml:space="preserve"> </w:t>
      </w:r>
      <w:r w:rsidR="00D80B2E">
        <w:rPr>
          <w:sz w:val="28"/>
          <w:szCs w:val="28"/>
        </w:rPr>
        <w:t>проведением культурно-массовых мероприятий</w:t>
      </w:r>
      <w:r w:rsidR="00DF456B" w:rsidRPr="00EF4FFC">
        <w:rPr>
          <w:sz w:val="28"/>
          <w:szCs w:val="28"/>
        </w:rPr>
        <w:t xml:space="preserve">.   </w:t>
      </w:r>
    </w:p>
    <w:p w:rsidR="00592D10" w:rsidRDefault="00592D10" w:rsidP="00592D10">
      <w:pPr>
        <w:ind w:firstLine="539"/>
        <w:jc w:val="both"/>
        <w:rPr>
          <w:sz w:val="28"/>
          <w:szCs w:val="28"/>
        </w:rPr>
      </w:pPr>
      <w:r w:rsidRPr="00EF4FFC">
        <w:rPr>
          <w:sz w:val="28"/>
          <w:szCs w:val="28"/>
        </w:rPr>
        <w:t xml:space="preserve">По разделу </w:t>
      </w:r>
      <w:r w:rsidRPr="00E53916">
        <w:rPr>
          <w:sz w:val="28"/>
          <w:szCs w:val="28"/>
          <w:u w:val="single"/>
        </w:rPr>
        <w:t>«</w:t>
      </w:r>
      <w:r w:rsidR="00E53916" w:rsidRPr="00E53916">
        <w:rPr>
          <w:color w:val="000000"/>
          <w:sz w:val="28"/>
          <w:szCs w:val="28"/>
          <w:u w:val="single"/>
        </w:rPr>
        <w:t>Национальная безопасность и правоохранительная деятельность</w:t>
      </w:r>
      <w:r w:rsidRPr="00E53916">
        <w:rPr>
          <w:sz w:val="28"/>
          <w:szCs w:val="28"/>
          <w:u w:val="single"/>
        </w:rPr>
        <w:t>»</w:t>
      </w:r>
      <w:r w:rsidRPr="00EF4FFC">
        <w:rPr>
          <w:sz w:val="28"/>
          <w:szCs w:val="28"/>
        </w:rPr>
        <w:t xml:space="preserve"> согласно данным отч</w:t>
      </w:r>
      <w:r w:rsidR="00E53916">
        <w:rPr>
          <w:sz w:val="28"/>
          <w:szCs w:val="28"/>
        </w:rPr>
        <w:t>е</w:t>
      </w:r>
      <w:r w:rsidRPr="00EF4FFC">
        <w:rPr>
          <w:sz w:val="28"/>
          <w:szCs w:val="28"/>
        </w:rPr>
        <w:t xml:space="preserve">та расходы составили  </w:t>
      </w:r>
      <w:r w:rsidR="00E53916">
        <w:rPr>
          <w:sz w:val="28"/>
          <w:szCs w:val="28"/>
        </w:rPr>
        <w:t>4165</w:t>
      </w:r>
      <w:r w:rsidR="00EE2C86">
        <w:rPr>
          <w:sz w:val="28"/>
          <w:szCs w:val="28"/>
        </w:rPr>
        <w:t>,0 тыс. руб.,</w:t>
      </w:r>
      <w:r w:rsidR="00E53916">
        <w:rPr>
          <w:sz w:val="28"/>
          <w:szCs w:val="28"/>
        </w:rPr>
        <w:t xml:space="preserve"> </w:t>
      </w:r>
      <w:r w:rsidR="00EE2C86">
        <w:rPr>
          <w:sz w:val="28"/>
          <w:szCs w:val="28"/>
        </w:rPr>
        <w:t>о</w:t>
      </w:r>
      <w:r w:rsidRPr="00EF4FFC">
        <w:rPr>
          <w:sz w:val="28"/>
          <w:szCs w:val="28"/>
        </w:rPr>
        <w:t>тносительно 201</w:t>
      </w:r>
      <w:r w:rsidR="00E53916">
        <w:rPr>
          <w:sz w:val="28"/>
          <w:szCs w:val="28"/>
        </w:rPr>
        <w:t>2</w:t>
      </w:r>
      <w:r w:rsidRPr="00EF4FFC">
        <w:rPr>
          <w:sz w:val="28"/>
          <w:szCs w:val="28"/>
        </w:rPr>
        <w:t xml:space="preserve"> года  расходы  увеличились на </w:t>
      </w:r>
      <w:r w:rsidR="00E53916">
        <w:rPr>
          <w:sz w:val="28"/>
          <w:szCs w:val="28"/>
        </w:rPr>
        <w:t>282</w:t>
      </w:r>
      <w:r w:rsidRPr="00EF4FFC">
        <w:rPr>
          <w:sz w:val="28"/>
          <w:szCs w:val="28"/>
        </w:rPr>
        <w:t xml:space="preserve">,0 тыс. руб. или на </w:t>
      </w:r>
      <w:r w:rsidR="00E53916">
        <w:rPr>
          <w:sz w:val="28"/>
          <w:szCs w:val="28"/>
        </w:rPr>
        <w:t>107</w:t>
      </w:r>
      <w:r w:rsidRPr="00EF4FFC">
        <w:rPr>
          <w:sz w:val="28"/>
          <w:szCs w:val="28"/>
        </w:rPr>
        <w:t xml:space="preserve">,3%.  </w:t>
      </w:r>
    </w:p>
    <w:p w:rsidR="00490D26" w:rsidRDefault="00490D26" w:rsidP="00490D26">
      <w:pPr>
        <w:ind w:firstLine="539"/>
        <w:jc w:val="both"/>
        <w:rPr>
          <w:sz w:val="28"/>
          <w:szCs w:val="28"/>
        </w:rPr>
      </w:pPr>
      <w:r w:rsidRPr="00EF4FFC">
        <w:rPr>
          <w:sz w:val="28"/>
          <w:szCs w:val="28"/>
        </w:rPr>
        <w:t xml:space="preserve">По разделу </w:t>
      </w:r>
      <w:r w:rsidRPr="00EF4FFC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Образование</w:t>
      </w:r>
      <w:r w:rsidRPr="00EF4FFC">
        <w:rPr>
          <w:sz w:val="28"/>
          <w:szCs w:val="28"/>
          <w:u w:val="single"/>
        </w:rPr>
        <w:t>»</w:t>
      </w:r>
      <w:r w:rsidRPr="00EF4FFC">
        <w:rPr>
          <w:sz w:val="28"/>
          <w:szCs w:val="28"/>
        </w:rPr>
        <w:t xml:space="preserve"> согласно данным отч</w:t>
      </w:r>
      <w:r>
        <w:rPr>
          <w:sz w:val="28"/>
          <w:szCs w:val="28"/>
        </w:rPr>
        <w:t>е</w:t>
      </w:r>
      <w:r w:rsidRPr="00EF4FFC">
        <w:rPr>
          <w:sz w:val="28"/>
          <w:szCs w:val="28"/>
        </w:rPr>
        <w:t xml:space="preserve">та расходы составили  </w:t>
      </w:r>
      <w:r>
        <w:rPr>
          <w:sz w:val="28"/>
          <w:szCs w:val="28"/>
        </w:rPr>
        <w:t>451363</w:t>
      </w:r>
      <w:r w:rsidR="00EE2C86">
        <w:rPr>
          <w:sz w:val="28"/>
          <w:szCs w:val="28"/>
        </w:rPr>
        <w:t>,0 тыс. руб.,</w:t>
      </w:r>
      <w:r w:rsidRPr="00EF4FFC">
        <w:rPr>
          <w:sz w:val="28"/>
          <w:szCs w:val="28"/>
        </w:rPr>
        <w:t xml:space="preserve"> относительно 201</w:t>
      </w:r>
      <w:r>
        <w:rPr>
          <w:sz w:val="28"/>
          <w:szCs w:val="28"/>
        </w:rPr>
        <w:t>2</w:t>
      </w:r>
      <w:r w:rsidRPr="00EF4FFC">
        <w:rPr>
          <w:sz w:val="28"/>
          <w:szCs w:val="28"/>
        </w:rPr>
        <w:t xml:space="preserve"> года  расходы  увеличились на </w:t>
      </w:r>
      <w:r>
        <w:rPr>
          <w:sz w:val="28"/>
          <w:szCs w:val="28"/>
        </w:rPr>
        <w:t>27474</w:t>
      </w:r>
      <w:r w:rsidRPr="00EF4FFC">
        <w:rPr>
          <w:sz w:val="28"/>
          <w:szCs w:val="28"/>
        </w:rPr>
        <w:t xml:space="preserve">,0 тыс. руб. или на </w:t>
      </w:r>
      <w:r>
        <w:rPr>
          <w:sz w:val="28"/>
          <w:szCs w:val="28"/>
        </w:rPr>
        <w:t>106,5</w:t>
      </w:r>
      <w:r w:rsidRPr="00EF4FFC">
        <w:rPr>
          <w:sz w:val="28"/>
          <w:szCs w:val="28"/>
        </w:rPr>
        <w:t xml:space="preserve">%. Рост расходов связан с программой модернизации </w:t>
      </w:r>
      <w:r>
        <w:rPr>
          <w:sz w:val="28"/>
          <w:szCs w:val="28"/>
        </w:rPr>
        <w:t>сферы образования</w:t>
      </w:r>
      <w:r w:rsidRPr="00EF4FFC">
        <w:rPr>
          <w:sz w:val="28"/>
          <w:szCs w:val="28"/>
        </w:rPr>
        <w:t xml:space="preserve">, а так же с индексацией </w:t>
      </w:r>
      <w:proofErr w:type="gramStart"/>
      <w:r w:rsidRPr="00EF4FFC">
        <w:rPr>
          <w:sz w:val="28"/>
          <w:szCs w:val="28"/>
        </w:rPr>
        <w:t>фондов оплаты труда работников бюджетной сферы</w:t>
      </w:r>
      <w:proofErr w:type="gramEnd"/>
      <w:r w:rsidRPr="00EF4FFC">
        <w:rPr>
          <w:sz w:val="28"/>
          <w:szCs w:val="28"/>
        </w:rPr>
        <w:t xml:space="preserve">.   </w:t>
      </w:r>
    </w:p>
    <w:p w:rsidR="0024277C" w:rsidRDefault="009A33B4" w:rsidP="00490D26">
      <w:pPr>
        <w:ind w:firstLine="539"/>
        <w:jc w:val="both"/>
        <w:rPr>
          <w:sz w:val="28"/>
          <w:szCs w:val="28"/>
        </w:rPr>
      </w:pPr>
      <w:r w:rsidRPr="00EF4FFC">
        <w:rPr>
          <w:sz w:val="28"/>
          <w:szCs w:val="28"/>
        </w:rPr>
        <w:t xml:space="preserve">По разделу </w:t>
      </w:r>
      <w:r w:rsidRPr="00EF4FFC">
        <w:rPr>
          <w:sz w:val="28"/>
          <w:szCs w:val="28"/>
          <w:u w:val="single"/>
        </w:rPr>
        <w:t>«Физическая культура и спорт»</w:t>
      </w:r>
      <w:r w:rsidRPr="00EF4FFC">
        <w:rPr>
          <w:sz w:val="28"/>
          <w:szCs w:val="28"/>
        </w:rPr>
        <w:t xml:space="preserve"> согласно данным отч</w:t>
      </w:r>
      <w:r>
        <w:rPr>
          <w:sz w:val="28"/>
          <w:szCs w:val="28"/>
        </w:rPr>
        <w:t>е</w:t>
      </w:r>
      <w:r w:rsidRPr="00EF4FFC">
        <w:rPr>
          <w:sz w:val="28"/>
          <w:szCs w:val="28"/>
        </w:rPr>
        <w:t xml:space="preserve">та расходы составили  </w:t>
      </w:r>
      <w:r>
        <w:rPr>
          <w:sz w:val="28"/>
          <w:szCs w:val="28"/>
        </w:rPr>
        <w:t>27888</w:t>
      </w:r>
      <w:r w:rsidR="00EE2C86">
        <w:rPr>
          <w:sz w:val="28"/>
          <w:szCs w:val="28"/>
        </w:rPr>
        <w:t xml:space="preserve">,0 тыс. руб., </w:t>
      </w:r>
      <w:r w:rsidRPr="00EF4FFC">
        <w:rPr>
          <w:sz w:val="28"/>
          <w:szCs w:val="28"/>
        </w:rPr>
        <w:t>относительно 201</w:t>
      </w:r>
      <w:r>
        <w:rPr>
          <w:sz w:val="28"/>
          <w:szCs w:val="28"/>
        </w:rPr>
        <w:t>2</w:t>
      </w:r>
      <w:r w:rsidRPr="00EF4FFC">
        <w:rPr>
          <w:sz w:val="28"/>
          <w:szCs w:val="28"/>
        </w:rPr>
        <w:t xml:space="preserve"> года  расходы  увеличились на </w:t>
      </w:r>
      <w:r>
        <w:rPr>
          <w:sz w:val="28"/>
          <w:szCs w:val="28"/>
        </w:rPr>
        <w:t>1135</w:t>
      </w:r>
      <w:r w:rsidRPr="00EF4FFC">
        <w:rPr>
          <w:sz w:val="28"/>
          <w:szCs w:val="28"/>
        </w:rPr>
        <w:t xml:space="preserve">,0 тыс. руб. или на </w:t>
      </w:r>
      <w:r>
        <w:rPr>
          <w:sz w:val="28"/>
          <w:szCs w:val="28"/>
        </w:rPr>
        <w:t>104,2</w:t>
      </w:r>
      <w:r w:rsidRPr="00EF4FFC">
        <w:rPr>
          <w:sz w:val="28"/>
          <w:szCs w:val="28"/>
        </w:rPr>
        <w:t xml:space="preserve">%. Рост расходов связан с программой модернизации и поддержкой физической культуры и спорта, а так же с индексацией </w:t>
      </w:r>
      <w:proofErr w:type="gramStart"/>
      <w:r w:rsidRPr="00EF4FFC">
        <w:rPr>
          <w:sz w:val="28"/>
          <w:szCs w:val="28"/>
        </w:rPr>
        <w:t>фондов оплаты труда работников бюджетной сферы</w:t>
      </w:r>
      <w:proofErr w:type="gramEnd"/>
      <w:r w:rsidRPr="00EF4FFC">
        <w:rPr>
          <w:sz w:val="28"/>
          <w:szCs w:val="28"/>
        </w:rPr>
        <w:t xml:space="preserve">.   </w:t>
      </w:r>
    </w:p>
    <w:p w:rsidR="0024277C" w:rsidRDefault="0024277C" w:rsidP="0024277C">
      <w:pPr>
        <w:ind w:firstLine="539"/>
        <w:jc w:val="both"/>
        <w:rPr>
          <w:sz w:val="28"/>
          <w:szCs w:val="28"/>
        </w:rPr>
      </w:pPr>
      <w:r w:rsidRPr="00A44441">
        <w:rPr>
          <w:sz w:val="28"/>
          <w:szCs w:val="28"/>
        </w:rPr>
        <w:t>Следует отметить, что приоритетным направлением расходования средств в 2013 году в основном являлось развитие социальной сферы городского округа Котельники.</w:t>
      </w:r>
    </w:p>
    <w:p w:rsidR="00E91B03" w:rsidRDefault="00E91B03" w:rsidP="00E91B03">
      <w:pPr>
        <w:ind w:firstLine="540"/>
        <w:jc w:val="both"/>
        <w:rPr>
          <w:i/>
          <w:sz w:val="28"/>
          <w:szCs w:val="28"/>
        </w:rPr>
      </w:pPr>
      <w:r w:rsidRPr="00E91B03">
        <w:rPr>
          <w:i/>
          <w:sz w:val="28"/>
          <w:szCs w:val="28"/>
        </w:rPr>
        <w:t>Анализ исполнения расходной части бюджета 2013 года</w:t>
      </w:r>
      <w:r>
        <w:rPr>
          <w:i/>
          <w:sz w:val="28"/>
          <w:szCs w:val="28"/>
        </w:rPr>
        <w:t xml:space="preserve"> </w:t>
      </w:r>
      <w:r w:rsidRPr="00EF4FFC">
        <w:rPr>
          <w:i/>
          <w:sz w:val="28"/>
          <w:szCs w:val="28"/>
        </w:rPr>
        <w:t>по разделам функциональной классификации</w:t>
      </w:r>
      <w:r w:rsidR="00155E35">
        <w:rPr>
          <w:i/>
          <w:sz w:val="28"/>
          <w:szCs w:val="28"/>
        </w:rPr>
        <w:t>,</w:t>
      </w:r>
      <w:r w:rsidRPr="00E91B03">
        <w:rPr>
          <w:i/>
          <w:sz w:val="28"/>
          <w:szCs w:val="28"/>
        </w:rPr>
        <w:t xml:space="preserve"> отно</w:t>
      </w:r>
      <w:r>
        <w:rPr>
          <w:i/>
          <w:sz w:val="28"/>
          <w:szCs w:val="28"/>
        </w:rPr>
        <w:t>сительно</w:t>
      </w:r>
      <w:r w:rsidRPr="00E91B0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бюджетных </w:t>
      </w:r>
      <w:r w:rsidRPr="00E91B03">
        <w:rPr>
          <w:i/>
          <w:sz w:val="28"/>
          <w:szCs w:val="28"/>
        </w:rPr>
        <w:t>назначени</w:t>
      </w:r>
      <w:r>
        <w:rPr>
          <w:i/>
          <w:sz w:val="28"/>
          <w:szCs w:val="28"/>
        </w:rPr>
        <w:t>й</w:t>
      </w:r>
      <w:r w:rsidR="00155E35">
        <w:rPr>
          <w:i/>
          <w:sz w:val="28"/>
          <w:szCs w:val="28"/>
        </w:rPr>
        <w:t xml:space="preserve"> (в ред. </w:t>
      </w:r>
      <w:r w:rsidRPr="00E91B03">
        <w:rPr>
          <w:i/>
          <w:sz w:val="28"/>
          <w:szCs w:val="28"/>
        </w:rPr>
        <w:t>Решени</w:t>
      </w:r>
      <w:r w:rsidR="00155E35">
        <w:rPr>
          <w:i/>
          <w:sz w:val="28"/>
          <w:szCs w:val="28"/>
        </w:rPr>
        <w:t>я</w:t>
      </w:r>
      <w:r w:rsidRPr="00E91B03">
        <w:rPr>
          <w:i/>
          <w:sz w:val="28"/>
          <w:szCs w:val="28"/>
        </w:rPr>
        <w:t xml:space="preserve"> Совета депутатов от 26.12.2013 № 586/82</w:t>
      </w:r>
      <w:r w:rsidR="00155E35">
        <w:rPr>
          <w:i/>
          <w:sz w:val="28"/>
          <w:szCs w:val="28"/>
        </w:rPr>
        <w:t>)</w:t>
      </w:r>
      <w:r w:rsidRPr="00E91B03">
        <w:rPr>
          <w:i/>
          <w:sz w:val="28"/>
          <w:szCs w:val="28"/>
        </w:rPr>
        <w:t>.</w:t>
      </w:r>
    </w:p>
    <w:p w:rsidR="001E6297" w:rsidRPr="001E6297" w:rsidRDefault="001E6297" w:rsidP="001E6297">
      <w:pPr>
        <w:ind w:firstLine="540"/>
        <w:jc w:val="both"/>
        <w:rPr>
          <w:sz w:val="28"/>
          <w:szCs w:val="28"/>
        </w:rPr>
      </w:pPr>
      <w:r w:rsidRPr="00EF4FFC">
        <w:rPr>
          <w:sz w:val="28"/>
          <w:szCs w:val="28"/>
        </w:rPr>
        <w:t>Выделенные бюджетные назначения в 201</w:t>
      </w:r>
      <w:r>
        <w:rPr>
          <w:sz w:val="28"/>
          <w:szCs w:val="28"/>
        </w:rPr>
        <w:t>3</w:t>
      </w:r>
      <w:r w:rsidRPr="00EF4FFC">
        <w:rPr>
          <w:sz w:val="28"/>
          <w:szCs w:val="28"/>
        </w:rPr>
        <w:t xml:space="preserve"> году в целом освоены на </w:t>
      </w:r>
      <w:r>
        <w:rPr>
          <w:sz w:val="28"/>
          <w:szCs w:val="28"/>
        </w:rPr>
        <w:t>79,5</w:t>
      </w:r>
      <w:r w:rsidRPr="00EF4FFC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Pr="00EF4FFC">
        <w:rPr>
          <w:sz w:val="28"/>
          <w:szCs w:val="28"/>
        </w:rPr>
        <w:t>в разрезе функциональной классификации расходов бюджета городского округа Котельники исполнен</w:t>
      </w:r>
      <w:r>
        <w:rPr>
          <w:sz w:val="28"/>
          <w:szCs w:val="28"/>
        </w:rPr>
        <w:t xml:space="preserve">ие варьируется от 50 % до 99%. </w:t>
      </w:r>
    </w:p>
    <w:p w:rsidR="00DF456B" w:rsidRPr="00EE2C86" w:rsidRDefault="00DF456B" w:rsidP="00E91B03">
      <w:pPr>
        <w:ind w:firstLine="540"/>
        <w:jc w:val="both"/>
        <w:rPr>
          <w:sz w:val="28"/>
          <w:szCs w:val="28"/>
        </w:rPr>
      </w:pPr>
      <w:r w:rsidRPr="00EE2C86">
        <w:rPr>
          <w:sz w:val="28"/>
          <w:szCs w:val="28"/>
        </w:rPr>
        <w:t xml:space="preserve">Исполнение расходной части бюджета по </w:t>
      </w:r>
      <w:r w:rsidR="00D80B2E" w:rsidRPr="00EE2C86">
        <w:rPr>
          <w:sz w:val="28"/>
          <w:szCs w:val="28"/>
        </w:rPr>
        <w:t>6</w:t>
      </w:r>
      <w:r w:rsidRPr="00EE2C86">
        <w:rPr>
          <w:sz w:val="28"/>
          <w:szCs w:val="28"/>
        </w:rPr>
        <w:t xml:space="preserve"> разделам составило более 90%, а именно:</w:t>
      </w:r>
    </w:p>
    <w:p w:rsidR="00D80B2E" w:rsidRDefault="00D80B2E" w:rsidP="00D80B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F4FFC">
        <w:rPr>
          <w:sz w:val="28"/>
          <w:szCs w:val="28"/>
        </w:rPr>
        <w:t xml:space="preserve">о разделу </w:t>
      </w:r>
      <w:r w:rsidRPr="00EF4FFC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Охрана окружающей среды</w:t>
      </w:r>
      <w:r w:rsidRPr="00EF4FFC">
        <w:rPr>
          <w:sz w:val="28"/>
          <w:szCs w:val="28"/>
          <w:u w:val="single"/>
        </w:rPr>
        <w:t>»</w:t>
      </w:r>
      <w:r w:rsidRPr="00EF4FFC">
        <w:rPr>
          <w:sz w:val="28"/>
          <w:szCs w:val="28"/>
        </w:rPr>
        <w:t xml:space="preserve"> согласно данным отч</w:t>
      </w:r>
      <w:r>
        <w:rPr>
          <w:sz w:val="28"/>
          <w:szCs w:val="28"/>
        </w:rPr>
        <w:t>е</w:t>
      </w:r>
      <w:r w:rsidRPr="00EF4FFC">
        <w:rPr>
          <w:sz w:val="28"/>
          <w:szCs w:val="28"/>
        </w:rPr>
        <w:t xml:space="preserve">та расходы составили </w:t>
      </w:r>
      <w:r>
        <w:rPr>
          <w:sz w:val="28"/>
          <w:szCs w:val="28"/>
        </w:rPr>
        <w:t>100% от уточненного плана;</w:t>
      </w:r>
    </w:p>
    <w:p w:rsidR="00D80B2E" w:rsidRDefault="00D80B2E" w:rsidP="00D80B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EF4FFC">
        <w:rPr>
          <w:sz w:val="28"/>
          <w:szCs w:val="28"/>
        </w:rPr>
        <w:t xml:space="preserve">о разделу </w:t>
      </w:r>
      <w:r w:rsidRPr="009A33B4">
        <w:rPr>
          <w:sz w:val="28"/>
          <w:szCs w:val="28"/>
          <w:u w:val="single"/>
        </w:rPr>
        <w:t>«</w:t>
      </w:r>
      <w:r w:rsidRPr="009A33B4">
        <w:rPr>
          <w:color w:val="000000"/>
          <w:sz w:val="28"/>
          <w:szCs w:val="28"/>
          <w:u w:val="single"/>
        </w:rPr>
        <w:t>Культура. Кинематография и средства массовой информации</w:t>
      </w:r>
      <w:r w:rsidRPr="009A33B4">
        <w:rPr>
          <w:sz w:val="28"/>
          <w:szCs w:val="28"/>
          <w:u w:val="single"/>
        </w:rPr>
        <w:t>»</w:t>
      </w:r>
      <w:r w:rsidRPr="00EF4FFC">
        <w:rPr>
          <w:sz w:val="28"/>
          <w:szCs w:val="28"/>
        </w:rPr>
        <w:t xml:space="preserve"> согласно данным отч</w:t>
      </w:r>
      <w:r>
        <w:rPr>
          <w:sz w:val="28"/>
          <w:szCs w:val="28"/>
        </w:rPr>
        <w:t>е</w:t>
      </w:r>
      <w:r w:rsidRPr="00EF4FFC">
        <w:rPr>
          <w:sz w:val="28"/>
          <w:szCs w:val="28"/>
        </w:rPr>
        <w:t xml:space="preserve">та расходы </w:t>
      </w:r>
      <w:r>
        <w:rPr>
          <w:sz w:val="28"/>
          <w:szCs w:val="28"/>
        </w:rPr>
        <w:t>99,9</w:t>
      </w:r>
      <w:r w:rsidRPr="00EF4FFC">
        <w:rPr>
          <w:sz w:val="28"/>
          <w:szCs w:val="28"/>
        </w:rPr>
        <w:t>% от уточне</w:t>
      </w:r>
      <w:r>
        <w:rPr>
          <w:sz w:val="28"/>
          <w:szCs w:val="28"/>
        </w:rPr>
        <w:t>нного плана (без учета средств, выделенных из резервного фонда);</w:t>
      </w:r>
    </w:p>
    <w:p w:rsidR="00EE2C86" w:rsidRDefault="00EE2C86" w:rsidP="00D80B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F4FFC">
        <w:rPr>
          <w:sz w:val="28"/>
          <w:szCs w:val="28"/>
        </w:rPr>
        <w:t xml:space="preserve">о разделу </w:t>
      </w:r>
      <w:r w:rsidRPr="00EF4FFC">
        <w:rPr>
          <w:sz w:val="28"/>
          <w:szCs w:val="28"/>
          <w:u w:val="single"/>
        </w:rPr>
        <w:t>«Физическая культура и спорт»</w:t>
      </w:r>
      <w:r w:rsidRPr="00EF4FFC">
        <w:rPr>
          <w:sz w:val="28"/>
          <w:szCs w:val="28"/>
        </w:rPr>
        <w:t xml:space="preserve"> согласно данным отч</w:t>
      </w:r>
      <w:r>
        <w:rPr>
          <w:sz w:val="28"/>
          <w:szCs w:val="28"/>
        </w:rPr>
        <w:t>е</w:t>
      </w:r>
      <w:r w:rsidRPr="00EF4FFC">
        <w:rPr>
          <w:sz w:val="28"/>
          <w:szCs w:val="28"/>
        </w:rPr>
        <w:t xml:space="preserve">та расходы составили </w:t>
      </w:r>
      <w:r>
        <w:rPr>
          <w:sz w:val="28"/>
          <w:szCs w:val="28"/>
        </w:rPr>
        <w:t>99,9% от уточненного плана;</w:t>
      </w:r>
    </w:p>
    <w:p w:rsidR="00EE2C86" w:rsidRDefault="00EE2C86" w:rsidP="00EE2C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F4FFC">
        <w:rPr>
          <w:sz w:val="28"/>
          <w:szCs w:val="28"/>
        </w:rPr>
        <w:t xml:space="preserve">о разделу </w:t>
      </w:r>
      <w:r w:rsidRPr="00EF4FFC">
        <w:rPr>
          <w:sz w:val="28"/>
          <w:szCs w:val="28"/>
          <w:u w:val="single"/>
        </w:rPr>
        <w:t>«Жилищно-коммунальное хозяйство»</w:t>
      </w:r>
      <w:r w:rsidRPr="00EF4FFC">
        <w:rPr>
          <w:sz w:val="28"/>
          <w:szCs w:val="28"/>
        </w:rPr>
        <w:t xml:space="preserve"> согласно данным отч</w:t>
      </w:r>
      <w:r>
        <w:rPr>
          <w:sz w:val="28"/>
          <w:szCs w:val="28"/>
        </w:rPr>
        <w:t>е</w:t>
      </w:r>
      <w:r w:rsidRPr="00EF4FFC">
        <w:rPr>
          <w:sz w:val="28"/>
          <w:szCs w:val="28"/>
        </w:rPr>
        <w:t xml:space="preserve">та расходы составили </w:t>
      </w:r>
      <w:r>
        <w:rPr>
          <w:sz w:val="28"/>
          <w:szCs w:val="28"/>
        </w:rPr>
        <w:t>99,2% от уточненного плана;</w:t>
      </w:r>
    </w:p>
    <w:p w:rsidR="00D80B2E" w:rsidRPr="00D80B2E" w:rsidRDefault="00D80B2E" w:rsidP="00EE2C86">
      <w:pPr>
        <w:ind w:firstLine="540"/>
        <w:jc w:val="both"/>
        <w:rPr>
          <w:sz w:val="28"/>
          <w:szCs w:val="28"/>
        </w:rPr>
      </w:pPr>
      <w:r w:rsidRPr="00D80B2E">
        <w:rPr>
          <w:sz w:val="28"/>
          <w:szCs w:val="28"/>
        </w:rPr>
        <w:t xml:space="preserve">- по разделу </w:t>
      </w:r>
      <w:r w:rsidRPr="00D80B2E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Здравоохранение</w:t>
      </w:r>
      <w:r w:rsidRPr="00D80B2E">
        <w:rPr>
          <w:sz w:val="28"/>
          <w:szCs w:val="28"/>
          <w:u w:val="single"/>
        </w:rPr>
        <w:t>»</w:t>
      </w:r>
      <w:r w:rsidRPr="00D80B2E">
        <w:rPr>
          <w:sz w:val="28"/>
          <w:szCs w:val="28"/>
        </w:rPr>
        <w:t xml:space="preserve"> согласно данным отчета расходы составили  </w:t>
      </w:r>
      <w:r>
        <w:rPr>
          <w:sz w:val="28"/>
          <w:szCs w:val="28"/>
        </w:rPr>
        <w:t>96,8</w:t>
      </w:r>
      <w:r w:rsidRPr="00D80B2E">
        <w:rPr>
          <w:sz w:val="28"/>
          <w:szCs w:val="28"/>
        </w:rPr>
        <w:t>% от уточненного плана</w:t>
      </w:r>
      <w:r w:rsidR="00EE2C86">
        <w:rPr>
          <w:sz w:val="28"/>
          <w:szCs w:val="28"/>
        </w:rPr>
        <w:t>;</w:t>
      </w:r>
    </w:p>
    <w:p w:rsidR="00D80B2E" w:rsidRPr="00D80B2E" w:rsidRDefault="00D80B2E" w:rsidP="00E91B03">
      <w:pPr>
        <w:ind w:firstLine="540"/>
        <w:jc w:val="both"/>
        <w:rPr>
          <w:sz w:val="28"/>
          <w:szCs w:val="28"/>
        </w:rPr>
      </w:pPr>
      <w:r w:rsidRPr="00D80B2E">
        <w:rPr>
          <w:sz w:val="28"/>
          <w:szCs w:val="28"/>
        </w:rPr>
        <w:t xml:space="preserve">- по разделу </w:t>
      </w:r>
      <w:r w:rsidRPr="00D80B2E">
        <w:rPr>
          <w:sz w:val="28"/>
          <w:szCs w:val="28"/>
          <w:u w:val="single"/>
        </w:rPr>
        <w:t>«Общегосударственные вопросы»</w:t>
      </w:r>
      <w:r w:rsidRPr="00D80B2E">
        <w:rPr>
          <w:sz w:val="28"/>
          <w:szCs w:val="28"/>
        </w:rPr>
        <w:t xml:space="preserve"> согласно данным отчета расходы составили  95,3% от уточненного плана</w:t>
      </w:r>
      <w:r w:rsidR="00EE2C86">
        <w:rPr>
          <w:sz w:val="28"/>
          <w:szCs w:val="28"/>
        </w:rPr>
        <w:t>.</w:t>
      </w:r>
    </w:p>
    <w:p w:rsidR="00EE2C86" w:rsidRDefault="00EE2C86" w:rsidP="005875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758F" w:rsidRPr="006239F4">
        <w:rPr>
          <w:sz w:val="28"/>
          <w:szCs w:val="28"/>
        </w:rPr>
        <w:t xml:space="preserve">о 4 разделам исполнение </w:t>
      </w:r>
      <w:r>
        <w:rPr>
          <w:sz w:val="28"/>
          <w:szCs w:val="28"/>
        </w:rPr>
        <w:t xml:space="preserve">расходной части </w:t>
      </w:r>
      <w:r w:rsidR="0058758F" w:rsidRPr="006239F4">
        <w:rPr>
          <w:sz w:val="28"/>
          <w:szCs w:val="28"/>
        </w:rPr>
        <w:t>составило менее 70%</w:t>
      </w:r>
      <w:r>
        <w:rPr>
          <w:sz w:val="28"/>
          <w:szCs w:val="28"/>
        </w:rPr>
        <w:t>, а именно:</w:t>
      </w:r>
    </w:p>
    <w:p w:rsidR="00EE2C86" w:rsidRDefault="00EE2C86" w:rsidP="005875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F4FFC">
        <w:rPr>
          <w:sz w:val="28"/>
          <w:szCs w:val="28"/>
        </w:rPr>
        <w:t xml:space="preserve">о разделу </w:t>
      </w:r>
      <w:r w:rsidRPr="00EF4FFC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Образование</w:t>
      </w:r>
      <w:r w:rsidRPr="00EF4FFC">
        <w:rPr>
          <w:sz w:val="28"/>
          <w:szCs w:val="28"/>
          <w:u w:val="single"/>
        </w:rPr>
        <w:t>»</w:t>
      </w:r>
      <w:r w:rsidRPr="00EF4FFC">
        <w:rPr>
          <w:sz w:val="28"/>
          <w:szCs w:val="28"/>
        </w:rPr>
        <w:t xml:space="preserve"> согласно данным отч</w:t>
      </w:r>
      <w:r>
        <w:rPr>
          <w:sz w:val="28"/>
          <w:szCs w:val="28"/>
        </w:rPr>
        <w:t>е</w:t>
      </w:r>
      <w:r w:rsidRPr="00EF4FFC">
        <w:rPr>
          <w:sz w:val="28"/>
          <w:szCs w:val="28"/>
        </w:rPr>
        <w:t>та расходы составили</w:t>
      </w:r>
      <w:r>
        <w:rPr>
          <w:sz w:val="28"/>
          <w:szCs w:val="28"/>
        </w:rPr>
        <w:t xml:space="preserve"> 66,8% </w:t>
      </w:r>
      <w:r w:rsidRPr="00D80B2E">
        <w:rPr>
          <w:sz w:val="28"/>
          <w:szCs w:val="28"/>
        </w:rPr>
        <w:t>от уточненного плана</w:t>
      </w:r>
      <w:r>
        <w:rPr>
          <w:sz w:val="28"/>
          <w:szCs w:val="28"/>
        </w:rPr>
        <w:t>;</w:t>
      </w:r>
    </w:p>
    <w:p w:rsidR="00EE2C86" w:rsidRDefault="00EE2C86" w:rsidP="00EE2C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F4FFC">
        <w:rPr>
          <w:sz w:val="28"/>
          <w:szCs w:val="28"/>
        </w:rPr>
        <w:t xml:space="preserve">о разделу </w:t>
      </w:r>
      <w:r w:rsidRPr="00EF4FFC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Социальная политика</w:t>
      </w:r>
      <w:r w:rsidRPr="00EF4FFC">
        <w:rPr>
          <w:sz w:val="28"/>
          <w:szCs w:val="28"/>
          <w:u w:val="single"/>
        </w:rPr>
        <w:t>»</w:t>
      </w:r>
      <w:r w:rsidRPr="00EF4FFC">
        <w:rPr>
          <w:sz w:val="28"/>
          <w:szCs w:val="28"/>
        </w:rPr>
        <w:t xml:space="preserve"> согласно данным отч</w:t>
      </w:r>
      <w:r>
        <w:rPr>
          <w:sz w:val="28"/>
          <w:szCs w:val="28"/>
        </w:rPr>
        <w:t>е</w:t>
      </w:r>
      <w:r w:rsidRPr="00EF4FFC">
        <w:rPr>
          <w:sz w:val="28"/>
          <w:szCs w:val="28"/>
        </w:rPr>
        <w:t>та расходы составили</w:t>
      </w:r>
      <w:r>
        <w:rPr>
          <w:sz w:val="28"/>
          <w:szCs w:val="28"/>
        </w:rPr>
        <w:t xml:space="preserve"> 59,7%</w:t>
      </w:r>
      <w:r w:rsidRPr="00EE2C86">
        <w:rPr>
          <w:sz w:val="28"/>
          <w:szCs w:val="28"/>
        </w:rPr>
        <w:t xml:space="preserve"> </w:t>
      </w:r>
      <w:r w:rsidRPr="00D80B2E">
        <w:rPr>
          <w:sz w:val="28"/>
          <w:szCs w:val="28"/>
        </w:rPr>
        <w:t>от уточненного плана</w:t>
      </w:r>
      <w:r>
        <w:rPr>
          <w:sz w:val="28"/>
          <w:szCs w:val="28"/>
        </w:rPr>
        <w:t>;</w:t>
      </w:r>
    </w:p>
    <w:p w:rsidR="00EE2C86" w:rsidRDefault="00EE2C86" w:rsidP="00EE2C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F4FFC">
        <w:rPr>
          <w:sz w:val="28"/>
          <w:szCs w:val="28"/>
        </w:rPr>
        <w:t xml:space="preserve">о разделу </w:t>
      </w:r>
      <w:r w:rsidRPr="00EF4FFC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Национальная экономика</w:t>
      </w:r>
      <w:r w:rsidRPr="00EF4FFC">
        <w:rPr>
          <w:sz w:val="28"/>
          <w:szCs w:val="28"/>
          <w:u w:val="single"/>
        </w:rPr>
        <w:t>»</w:t>
      </w:r>
      <w:r w:rsidRPr="00EF4FFC">
        <w:rPr>
          <w:sz w:val="28"/>
          <w:szCs w:val="28"/>
        </w:rPr>
        <w:t xml:space="preserve"> согласно данным отч</w:t>
      </w:r>
      <w:r>
        <w:rPr>
          <w:sz w:val="28"/>
          <w:szCs w:val="28"/>
        </w:rPr>
        <w:t>е</w:t>
      </w:r>
      <w:r w:rsidRPr="00EF4FFC">
        <w:rPr>
          <w:sz w:val="28"/>
          <w:szCs w:val="28"/>
        </w:rPr>
        <w:t>та расходы составили</w:t>
      </w:r>
      <w:r>
        <w:rPr>
          <w:sz w:val="28"/>
          <w:szCs w:val="28"/>
        </w:rPr>
        <w:t xml:space="preserve"> 56,2% </w:t>
      </w:r>
      <w:r w:rsidRPr="00D80B2E">
        <w:rPr>
          <w:sz w:val="28"/>
          <w:szCs w:val="28"/>
        </w:rPr>
        <w:t>от уточненного плана</w:t>
      </w:r>
      <w:r>
        <w:rPr>
          <w:sz w:val="28"/>
          <w:szCs w:val="28"/>
        </w:rPr>
        <w:t>;</w:t>
      </w:r>
    </w:p>
    <w:p w:rsidR="00EE2C86" w:rsidRDefault="00EE2C86" w:rsidP="00EE2C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F4FFC">
        <w:rPr>
          <w:sz w:val="28"/>
          <w:szCs w:val="28"/>
        </w:rPr>
        <w:t xml:space="preserve">о разделу </w:t>
      </w:r>
      <w:r w:rsidRPr="00EE2C86">
        <w:rPr>
          <w:sz w:val="28"/>
          <w:szCs w:val="28"/>
        </w:rPr>
        <w:t>«</w:t>
      </w:r>
      <w:r w:rsidRPr="00EE2C86">
        <w:rPr>
          <w:color w:val="000000"/>
          <w:sz w:val="28"/>
          <w:szCs w:val="28"/>
        </w:rPr>
        <w:t>Национальная оборона»</w:t>
      </w:r>
      <w:r w:rsidRPr="00EE2C86">
        <w:rPr>
          <w:sz w:val="28"/>
          <w:szCs w:val="28"/>
        </w:rPr>
        <w:t xml:space="preserve"> </w:t>
      </w:r>
      <w:r w:rsidRPr="00EF4FFC">
        <w:rPr>
          <w:sz w:val="28"/>
          <w:szCs w:val="28"/>
        </w:rPr>
        <w:t>согласно данным отч</w:t>
      </w:r>
      <w:r>
        <w:rPr>
          <w:sz w:val="28"/>
          <w:szCs w:val="28"/>
        </w:rPr>
        <w:t>е</w:t>
      </w:r>
      <w:r w:rsidRPr="00EF4FFC">
        <w:rPr>
          <w:sz w:val="28"/>
          <w:szCs w:val="28"/>
        </w:rPr>
        <w:t>та расходы составили</w:t>
      </w:r>
      <w:r>
        <w:rPr>
          <w:sz w:val="28"/>
          <w:szCs w:val="28"/>
        </w:rPr>
        <w:t xml:space="preserve"> 49,2% </w:t>
      </w:r>
      <w:r w:rsidRPr="00D80B2E">
        <w:rPr>
          <w:sz w:val="28"/>
          <w:szCs w:val="28"/>
        </w:rPr>
        <w:t>от уточненного плана</w:t>
      </w:r>
      <w:r>
        <w:rPr>
          <w:sz w:val="28"/>
          <w:szCs w:val="28"/>
        </w:rPr>
        <w:t>.</w:t>
      </w:r>
    </w:p>
    <w:p w:rsidR="0058758F" w:rsidRDefault="0058758F" w:rsidP="0058758F">
      <w:pPr>
        <w:ind w:firstLine="540"/>
        <w:jc w:val="both"/>
        <w:rPr>
          <w:sz w:val="28"/>
          <w:szCs w:val="28"/>
        </w:rPr>
      </w:pPr>
      <w:r w:rsidRPr="006239F4">
        <w:rPr>
          <w:sz w:val="28"/>
          <w:szCs w:val="28"/>
        </w:rPr>
        <w:t>Согласно пояснительной записки к консолидированному бюджету городского округа Котельники Московской области</w:t>
      </w:r>
      <w:r w:rsidR="00155E35">
        <w:rPr>
          <w:sz w:val="28"/>
          <w:szCs w:val="28"/>
        </w:rPr>
        <w:t>,</w:t>
      </w:r>
      <w:r w:rsidRPr="006239F4">
        <w:rPr>
          <w:sz w:val="28"/>
          <w:szCs w:val="28"/>
        </w:rPr>
        <w:t xml:space="preserve"> </w:t>
      </w:r>
      <w:r>
        <w:rPr>
          <w:sz w:val="28"/>
          <w:szCs w:val="28"/>
        </w:rPr>
        <w:t>пояснения сложившейся экономии средств даны только по раздел</w:t>
      </w:r>
      <w:r w:rsidR="00EE2C86">
        <w:rPr>
          <w:sz w:val="28"/>
          <w:szCs w:val="28"/>
        </w:rPr>
        <w:t>ам</w:t>
      </w:r>
      <w:r>
        <w:rPr>
          <w:sz w:val="28"/>
          <w:szCs w:val="28"/>
        </w:rPr>
        <w:t xml:space="preserve"> «Образование» и «Социальная политика». </w:t>
      </w:r>
    </w:p>
    <w:p w:rsidR="0058758F" w:rsidRPr="006239F4" w:rsidRDefault="0058758F" w:rsidP="005875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239F4">
        <w:rPr>
          <w:sz w:val="28"/>
          <w:szCs w:val="28"/>
        </w:rPr>
        <w:t xml:space="preserve">кономия </w:t>
      </w:r>
      <w:r w:rsidR="00155E35">
        <w:rPr>
          <w:sz w:val="28"/>
          <w:szCs w:val="28"/>
        </w:rPr>
        <w:t xml:space="preserve">бюджетных </w:t>
      </w:r>
      <w:r w:rsidRPr="006239F4">
        <w:rPr>
          <w:sz w:val="28"/>
          <w:szCs w:val="28"/>
        </w:rPr>
        <w:t>сре</w:t>
      </w:r>
      <w:proofErr w:type="gramStart"/>
      <w:r w:rsidRPr="006239F4">
        <w:rPr>
          <w:sz w:val="28"/>
          <w:szCs w:val="28"/>
        </w:rPr>
        <w:t>дств сл</w:t>
      </w:r>
      <w:proofErr w:type="gramEnd"/>
      <w:r w:rsidRPr="006239F4">
        <w:rPr>
          <w:sz w:val="28"/>
          <w:szCs w:val="28"/>
        </w:rPr>
        <w:t>ожилась по следующим причинам:</w:t>
      </w:r>
    </w:p>
    <w:p w:rsidR="0058758F" w:rsidRPr="0058758F" w:rsidRDefault="0058758F" w:rsidP="0058758F">
      <w:pPr>
        <w:ind w:firstLine="540"/>
        <w:jc w:val="both"/>
        <w:rPr>
          <w:sz w:val="28"/>
          <w:szCs w:val="28"/>
        </w:rPr>
      </w:pPr>
      <w:proofErr w:type="gramStart"/>
      <w:r w:rsidRPr="006239F4">
        <w:rPr>
          <w:sz w:val="28"/>
          <w:szCs w:val="28"/>
        </w:rPr>
        <w:t>- не использована субсидия из бюджета Московской области на проектирование и строительство объектов дошкольного образования в соответствии с долгосрочной целевой программой «Развитие образования в Московской области в 2013-2015 годах»</w:t>
      </w:r>
      <w:r>
        <w:rPr>
          <w:sz w:val="28"/>
          <w:szCs w:val="28"/>
        </w:rPr>
        <w:t xml:space="preserve">, а так же не использованы средства бюджета городского округа Котельники на исполнение целевой программы </w:t>
      </w:r>
      <w:r w:rsidRPr="00B850A0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B850A0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B850A0">
        <w:rPr>
          <w:sz w:val="28"/>
          <w:szCs w:val="28"/>
        </w:rPr>
        <w:t xml:space="preserve"> сети дошкольных образовательных учреждений городского округа Котельники Московской области на 2012-2014 гг.</w:t>
      </w:r>
      <w:r>
        <w:rPr>
          <w:sz w:val="28"/>
          <w:szCs w:val="28"/>
        </w:rPr>
        <w:t xml:space="preserve">», </w:t>
      </w:r>
      <w:r w:rsidRPr="0058758F">
        <w:rPr>
          <w:sz w:val="28"/>
          <w:szCs w:val="28"/>
        </w:rPr>
        <w:t>снижением первоначальной (максимальной) цены контрактов</w:t>
      </w:r>
      <w:proofErr w:type="gramEnd"/>
      <w:r w:rsidRPr="0058758F">
        <w:rPr>
          <w:sz w:val="28"/>
          <w:szCs w:val="28"/>
        </w:rPr>
        <w:t xml:space="preserve"> при проведен</w:t>
      </w:r>
      <w:proofErr w:type="gramStart"/>
      <w:r w:rsidRPr="0058758F">
        <w:rPr>
          <w:sz w:val="28"/>
          <w:szCs w:val="28"/>
        </w:rPr>
        <w:t>ии ау</w:t>
      </w:r>
      <w:proofErr w:type="gramEnd"/>
      <w:r w:rsidRPr="0058758F">
        <w:rPr>
          <w:sz w:val="28"/>
          <w:szCs w:val="28"/>
        </w:rPr>
        <w:t>кционов;</w:t>
      </w:r>
    </w:p>
    <w:p w:rsidR="0058758F" w:rsidRPr="0058758F" w:rsidRDefault="0058758F" w:rsidP="0058758F">
      <w:pPr>
        <w:ind w:firstLine="540"/>
        <w:jc w:val="both"/>
        <w:rPr>
          <w:sz w:val="28"/>
          <w:szCs w:val="28"/>
        </w:rPr>
      </w:pPr>
      <w:r w:rsidRPr="0058758F">
        <w:rPr>
          <w:sz w:val="28"/>
          <w:szCs w:val="28"/>
        </w:rPr>
        <w:t>- возвращены субвенции выделенные бюджету городского округа на обеспечение жильем отдельных категорий граждан (ФЗ от 12.01.1995 № 5-ФЗ от 24.11.1995 № 181-ФЗ, Указ Президента РФ от 07.05.2008 № 714), так как</w:t>
      </w:r>
      <w:r w:rsidR="00074EDF">
        <w:rPr>
          <w:sz w:val="28"/>
          <w:szCs w:val="28"/>
        </w:rPr>
        <w:t xml:space="preserve"> </w:t>
      </w:r>
      <w:r w:rsidRPr="0058758F">
        <w:rPr>
          <w:sz w:val="28"/>
          <w:szCs w:val="28"/>
        </w:rPr>
        <w:t xml:space="preserve"> </w:t>
      </w:r>
    </w:p>
    <w:p w:rsidR="00490D26" w:rsidRPr="00A44441" w:rsidRDefault="0058758F" w:rsidP="009471C9">
      <w:pPr>
        <w:jc w:val="both"/>
        <w:rPr>
          <w:sz w:val="28"/>
          <w:szCs w:val="28"/>
        </w:rPr>
      </w:pPr>
      <w:r w:rsidRPr="0058758F">
        <w:rPr>
          <w:sz w:val="28"/>
          <w:szCs w:val="28"/>
        </w:rPr>
        <w:t>не использованы до конца 2013 года.</w:t>
      </w:r>
    </w:p>
    <w:p w:rsidR="00EF4FFC" w:rsidRDefault="00EF4FFC" w:rsidP="00490D26">
      <w:pPr>
        <w:ind w:firstLine="539"/>
        <w:jc w:val="both"/>
        <w:rPr>
          <w:sz w:val="28"/>
          <w:szCs w:val="28"/>
        </w:rPr>
      </w:pPr>
      <w:r w:rsidRPr="00EF4FFC">
        <w:rPr>
          <w:sz w:val="28"/>
          <w:szCs w:val="28"/>
        </w:rPr>
        <w:t>Следует отметить, что поквартальное исполнение расходных обязательств в 201</w:t>
      </w:r>
      <w:r w:rsidR="009471C9">
        <w:rPr>
          <w:sz w:val="28"/>
          <w:szCs w:val="28"/>
        </w:rPr>
        <w:t>3</w:t>
      </w:r>
      <w:r w:rsidRPr="00EF4FFC">
        <w:rPr>
          <w:sz w:val="28"/>
          <w:szCs w:val="28"/>
        </w:rPr>
        <w:t xml:space="preserve"> году осуществлялось неравномерно. Основная доля исполнения расходных обязатель</w:t>
      </w:r>
      <w:proofErr w:type="gramStart"/>
      <w:r w:rsidRPr="00EF4FFC">
        <w:rPr>
          <w:sz w:val="28"/>
          <w:szCs w:val="28"/>
        </w:rPr>
        <w:t>ств пр</w:t>
      </w:r>
      <w:proofErr w:type="gramEnd"/>
      <w:r w:rsidRPr="00EF4FFC">
        <w:rPr>
          <w:sz w:val="28"/>
          <w:szCs w:val="28"/>
        </w:rPr>
        <w:t>иходится  на 4 квартал финансового года, одновременно с ростом бюджетных ассигнований. Тенденция неравномерного исполнения приведена в диаграмме:</w:t>
      </w:r>
    </w:p>
    <w:p w:rsidR="007061B2" w:rsidRDefault="007061B2" w:rsidP="00490D26">
      <w:pPr>
        <w:ind w:firstLine="53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EF5CC91" wp14:editId="57075E2C">
            <wp:extent cx="5248275" cy="2857500"/>
            <wp:effectExtent l="0" t="0" r="9525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0B22" w:rsidRPr="00E60B22" w:rsidRDefault="00E60B22" w:rsidP="007061B2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E60B22">
        <w:rPr>
          <w:rFonts w:eastAsiaTheme="minorEastAsia"/>
          <w:color w:val="000000"/>
          <w:sz w:val="28"/>
          <w:szCs w:val="28"/>
        </w:rPr>
        <w:t>В течение 201</w:t>
      </w:r>
      <w:r>
        <w:rPr>
          <w:rFonts w:eastAsiaTheme="minorEastAsia"/>
          <w:color w:val="000000"/>
          <w:sz w:val="28"/>
          <w:szCs w:val="28"/>
        </w:rPr>
        <w:t>3</w:t>
      </w:r>
      <w:r w:rsidRPr="00E60B22">
        <w:rPr>
          <w:rFonts w:eastAsiaTheme="minorEastAsia"/>
          <w:color w:val="000000"/>
          <w:sz w:val="28"/>
          <w:szCs w:val="28"/>
        </w:rPr>
        <w:t xml:space="preserve"> года Контрольно-счетная палата неоднократно обращала внимание на недостаточное качество бюджетного планирования и организации </w:t>
      </w:r>
      <w:r w:rsidRPr="00E60B22">
        <w:rPr>
          <w:rFonts w:eastAsiaTheme="minorEastAsia"/>
          <w:bCs/>
          <w:color w:val="000000"/>
          <w:sz w:val="28"/>
          <w:szCs w:val="28"/>
        </w:rPr>
        <w:t>исполнения принятых расходных обязательств</w:t>
      </w:r>
      <w:r w:rsidRPr="00E60B22">
        <w:rPr>
          <w:rFonts w:eastAsiaTheme="minorEastAsia"/>
          <w:color w:val="000000"/>
          <w:sz w:val="28"/>
          <w:szCs w:val="28"/>
        </w:rPr>
        <w:t xml:space="preserve">, что повлекло неравномерность их кассового исполнения в течение года, как в целом по бюджету, так и по отдельным разделам и подразделам классификации расходов. </w:t>
      </w:r>
    </w:p>
    <w:p w:rsidR="00EF4FFC" w:rsidRDefault="008A0641" w:rsidP="00EF4FFC">
      <w:pPr>
        <w:ind w:left="-108" w:right="-108" w:firstLine="648"/>
        <w:jc w:val="both"/>
        <w:rPr>
          <w:sz w:val="28"/>
          <w:szCs w:val="28"/>
        </w:rPr>
      </w:pPr>
      <w:r w:rsidRPr="00EF4FFC">
        <w:rPr>
          <w:sz w:val="28"/>
          <w:szCs w:val="28"/>
        </w:rPr>
        <w:t xml:space="preserve">Наибольший удельный вес в общей сумме исполнения </w:t>
      </w:r>
      <w:r>
        <w:rPr>
          <w:sz w:val="28"/>
          <w:szCs w:val="28"/>
        </w:rPr>
        <w:t xml:space="preserve">расходной части бюджета </w:t>
      </w:r>
      <w:r w:rsidRPr="00EF4FFC">
        <w:rPr>
          <w:sz w:val="28"/>
          <w:szCs w:val="28"/>
        </w:rPr>
        <w:t>за 201</w:t>
      </w:r>
      <w:r>
        <w:rPr>
          <w:sz w:val="28"/>
          <w:szCs w:val="28"/>
        </w:rPr>
        <w:t>3</w:t>
      </w:r>
      <w:r w:rsidRPr="00EF4FFC">
        <w:rPr>
          <w:sz w:val="28"/>
          <w:szCs w:val="28"/>
        </w:rPr>
        <w:t xml:space="preserve"> год </w:t>
      </w:r>
      <w:r w:rsidR="00EF4FFC" w:rsidRPr="00EF4FFC">
        <w:rPr>
          <w:sz w:val="28"/>
          <w:szCs w:val="28"/>
        </w:rPr>
        <w:t xml:space="preserve">в разрезе разделов функциональной классификации </w:t>
      </w:r>
      <w:r>
        <w:rPr>
          <w:sz w:val="28"/>
          <w:szCs w:val="28"/>
        </w:rPr>
        <w:t>составляет</w:t>
      </w:r>
      <w:r w:rsidR="00EF4FFC" w:rsidRPr="00EF4FFC">
        <w:rPr>
          <w:sz w:val="28"/>
          <w:szCs w:val="28"/>
        </w:rPr>
        <w:t xml:space="preserve">: </w:t>
      </w:r>
    </w:p>
    <w:p w:rsidR="006A1737" w:rsidRDefault="007061B2" w:rsidP="007061B2">
      <w:pPr>
        <w:ind w:right="-108" w:hanging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73792E6" wp14:editId="5F780A1B">
            <wp:extent cx="6629400" cy="4124325"/>
            <wp:effectExtent l="0" t="0" r="1905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F4FFC" w:rsidRDefault="00EF4FFC" w:rsidP="00523377">
      <w:pPr>
        <w:spacing w:before="120"/>
        <w:ind w:left="-108" w:right="-108" w:firstLine="646"/>
        <w:jc w:val="both"/>
        <w:rPr>
          <w:sz w:val="28"/>
          <w:szCs w:val="28"/>
        </w:rPr>
      </w:pPr>
      <w:r w:rsidRPr="00EF4FFC">
        <w:rPr>
          <w:sz w:val="28"/>
          <w:szCs w:val="28"/>
        </w:rPr>
        <w:lastRenderedPageBreak/>
        <w:t xml:space="preserve">- раздел «Образование» в размере </w:t>
      </w:r>
      <w:r w:rsidR="00E60B22">
        <w:rPr>
          <w:sz w:val="28"/>
          <w:szCs w:val="28"/>
        </w:rPr>
        <w:t>45</w:t>
      </w:r>
      <w:r w:rsidRPr="00EF4FFC">
        <w:rPr>
          <w:sz w:val="28"/>
          <w:szCs w:val="28"/>
        </w:rPr>
        <w:t>,</w:t>
      </w:r>
      <w:r w:rsidR="00E60B22">
        <w:rPr>
          <w:sz w:val="28"/>
          <w:szCs w:val="28"/>
        </w:rPr>
        <w:t>4</w:t>
      </w:r>
      <w:r w:rsidRPr="00EF4FFC">
        <w:rPr>
          <w:sz w:val="28"/>
          <w:szCs w:val="28"/>
        </w:rPr>
        <w:t>% от бюджетных назначений с учетом изменений и дополнений;</w:t>
      </w:r>
    </w:p>
    <w:p w:rsidR="00E60B22" w:rsidRPr="00EF4FFC" w:rsidRDefault="00E60B22" w:rsidP="00E60B22">
      <w:pPr>
        <w:ind w:left="-108" w:righ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 w:rsidRPr="00E60B22">
        <w:rPr>
          <w:sz w:val="28"/>
          <w:szCs w:val="28"/>
        </w:rPr>
        <w:t xml:space="preserve">«Общегосударственные вопросы» </w:t>
      </w:r>
      <w:r w:rsidRPr="00EF4FFC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23</w:t>
      </w:r>
      <w:r w:rsidRPr="00EF4FF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F4FFC">
        <w:rPr>
          <w:sz w:val="28"/>
          <w:szCs w:val="28"/>
        </w:rPr>
        <w:t>% от бюджетных назначений с учетом изменений и дополнений;</w:t>
      </w:r>
    </w:p>
    <w:p w:rsidR="00EF4FFC" w:rsidRPr="00EF4FFC" w:rsidRDefault="00EF4FFC" w:rsidP="00EF4FFC">
      <w:pPr>
        <w:ind w:left="-108" w:right="-108" w:firstLine="648"/>
        <w:jc w:val="both"/>
        <w:rPr>
          <w:sz w:val="28"/>
          <w:szCs w:val="28"/>
        </w:rPr>
      </w:pPr>
      <w:r w:rsidRPr="00EF4FFC">
        <w:rPr>
          <w:sz w:val="28"/>
          <w:szCs w:val="28"/>
        </w:rPr>
        <w:t>- раздел «</w:t>
      </w:r>
      <w:r w:rsidRPr="00EF4FFC">
        <w:rPr>
          <w:bCs/>
          <w:sz w:val="28"/>
          <w:szCs w:val="28"/>
        </w:rPr>
        <w:t xml:space="preserve">Жилищно-коммунальное хозяйство» в размере </w:t>
      </w:r>
      <w:r w:rsidR="00E60B22">
        <w:rPr>
          <w:bCs/>
          <w:sz w:val="28"/>
          <w:szCs w:val="28"/>
        </w:rPr>
        <w:t>14,4</w:t>
      </w:r>
      <w:r w:rsidRPr="00EF4FFC">
        <w:rPr>
          <w:bCs/>
          <w:sz w:val="28"/>
          <w:szCs w:val="28"/>
        </w:rPr>
        <w:t xml:space="preserve">% </w:t>
      </w:r>
      <w:r w:rsidRPr="00EF4FFC">
        <w:rPr>
          <w:sz w:val="28"/>
          <w:szCs w:val="28"/>
        </w:rPr>
        <w:t xml:space="preserve"> от бюджетных назначений с учетом изменений и дополнений;</w:t>
      </w:r>
    </w:p>
    <w:p w:rsidR="00EF4FFC" w:rsidRPr="00EF4FFC" w:rsidRDefault="00EF4FFC" w:rsidP="00EF4FFC">
      <w:pPr>
        <w:ind w:left="-108" w:right="-108" w:firstLine="648"/>
        <w:jc w:val="both"/>
        <w:rPr>
          <w:sz w:val="28"/>
          <w:szCs w:val="28"/>
        </w:rPr>
      </w:pPr>
      <w:r w:rsidRPr="00EF4FFC">
        <w:rPr>
          <w:sz w:val="28"/>
          <w:szCs w:val="28"/>
        </w:rPr>
        <w:t>- раздел «</w:t>
      </w:r>
      <w:r w:rsidRPr="00EF4FFC">
        <w:rPr>
          <w:bCs/>
          <w:sz w:val="28"/>
          <w:szCs w:val="28"/>
        </w:rPr>
        <w:t xml:space="preserve">Культура. Кинематография и средства массовой информации» в размере </w:t>
      </w:r>
      <w:r w:rsidR="008A0641">
        <w:rPr>
          <w:bCs/>
          <w:sz w:val="28"/>
          <w:szCs w:val="28"/>
        </w:rPr>
        <w:t>6,6</w:t>
      </w:r>
      <w:r w:rsidRPr="00EF4FFC">
        <w:rPr>
          <w:bCs/>
          <w:sz w:val="28"/>
          <w:szCs w:val="28"/>
        </w:rPr>
        <w:t xml:space="preserve">% </w:t>
      </w:r>
      <w:r w:rsidRPr="00EF4FFC">
        <w:rPr>
          <w:sz w:val="28"/>
          <w:szCs w:val="28"/>
        </w:rPr>
        <w:t xml:space="preserve"> от бюджетных назначений с учетом изменений и дополнений;</w:t>
      </w:r>
    </w:p>
    <w:p w:rsidR="00E60B22" w:rsidRPr="00EF4FFC" w:rsidRDefault="00E60B22" w:rsidP="008A0641">
      <w:pPr>
        <w:ind w:left="-108" w:right="-108" w:firstLine="648"/>
        <w:jc w:val="both"/>
        <w:rPr>
          <w:sz w:val="28"/>
          <w:szCs w:val="28"/>
        </w:rPr>
      </w:pPr>
      <w:r w:rsidRPr="00EF4FFC">
        <w:rPr>
          <w:sz w:val="28"/>
          <w:szCs w:val="28"/>
        </w:rPr>
        <w:t xml:space="preserve">- раздел «Здравоохранение» в размере </w:t>
      </w:r>
      <w:r w:rsidR="008A0641">
        <w:rPr>
          <w:sz w:val="28"/>
          <w:szCs w:val="28"/>
        </w:rPr>
        <w:t>4,1</w:t>
      </w:r>
      <w:r w:rsidRPr="00EF4FFC">
        <w:rPr>
          <w:sz w:val="28"/>
          <w:szCs w:val="28"/>
        </w:rPr>
        <w:t xml:space="preserve">% от бюджетных назначений </w:t>
      </w:r>
      <w:r w:rsidR="008A0641">
        <w:rPr>
          <w:sz w:val="28"/>
          <w:szCs w:val="28"/>
        </w:rPr>
        <w:t>с учетом изменений и дополнений.</w:t>
      </w:r>
    </w:p>
    <w:p w:rsidR="00EF4FFC" w:rsidRPr="003A081D" w:rsidRDefault="00EF4FFC" w:rsidP="00EF4FFC">
      <w:pPr>
        <w:rPr>
          <w:b/>
          <w:i/>
          <w:sz w:val="28"/>
          <w:szCs w:val="28"/>
        </w:rPr>
      </w:pPr>
      <w:r w:rsidRPr="003A081D">
        <w:rPr>
          <w:b/>
          <w:i/>
          <w:sz w:val="28"/>
          <w:szCs w:val="28"/>
        </w:rPr>
        <w:t>Исполнение муниципальных целевых программ</w:t>
      </w:r>
    </w:p>
    <w:p w:rsidR="00EF4FFC" w:rsidRPr="003A081D" w:rsidRDefault="00EF4FFC" w:rsidP="00EF4FFC">
      <w:pPr>
        <w:ind w:firstLine="540"/>
        <w:jc w:val="both"/>
        <w:rPr>
          <w:sz w:val="28"/>
          <w:szCs w:val="28"/>
        </w:rPr>
      </w:pPr>
      <w:r w:rsidRPr="003A081D">
        <w:rPr>
          <w:sz w:val="28"/>
          <w:szCs w:val="28"/>
        </w:rPr>
        <w:t>Целевые программы являются одним из важнейших инструментов осуществления государственной структурной политики, реализации целей и приоритетных направлений социально-экономического развития городского округа.</w:t>
      </w:r>
    </w:p>
    <w:p w:rsidR="00EF4FFC" w:rsidRPr="003A081D" w:rsidRDefault="00EF4FFC" w:rsidP="00EF4FFC">
      <w:pPr>
        <w:ind w:firstLine="540"/>
        <w:jc w:val="both"/>
        <w:rPr>
          <w:sz w:val="28"/>
          <w:szCs w:val="28"/>
        </w:rPr>
      </w:pPr>
      <w:r w:rsidRPr="003A081D">
        <w:rPr>
          <w:sz w:val="28"/>
          <w:szCs w:val="28"/>
        </w:rPr>
        <w:t>Профинансированные в 201</w:t>
      </w:r>
      <w:r w:rsidR="003A081D" w:rsidRPr="003A081D">
        <w:rPr>
          <w:sz w:val="28"/>
          <w:szCs w:val="28"/>
        </w:rPr>
        <w:t>3</w:t>
      </w:r>
      <w:r w:rsidRPr="003A081D">
        <w:rPr>
          <w:sz w:val="28"/>
          <w:szCs w:val="28"/>
        </w:rPr>
        <w:t xml:space="preserve"> году муниципальные целевые программы приведены в таблице:</w:t>
      </w:r>
    </w:p>
    <w:p w:rsidR="00EF4FFC" w:rsidRDefault="00EF4FFC" w:rsidP="00EF4FFC">
      <w:pPr>
        <w:ind w:firstLine="540"/>
        <w:jc w:val="right"/>
      </w:pPr>
      <w:r w:rsidRPr="00EF4FFC">
        <w:t>тыс. руб.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1843"/>
        <w:gridCol w:w="1559"/>
        <w:gridCol w:w="1559"/>
        <w:gridCol w:w="851"/>
      </w:tblGrid>
      <w:tr w:rsidR="003A081D" w:rsidTr="00074EDF">
        <w:trPr>
          <w:trHeight w:val="360"/>
        </w:trPr>
        <w:tc>
          <w:tcPr>
            <w:tcW w:w="370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A081D" w:rsidRPr="000427F7" w:rsidRDefault="003A081D">
            <w:pPr>
              <w:jc w:val="center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Наименование целевой программы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A081D" w:rsidRPr="000427F7" w:rsidRDefault="003A081D">
            <w:pPr>
              <w:jc w:val="center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 xml:space="preserve">Утверждено бюджетных назначений на 2013 год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A081D" w:rsidRPr="000427F7" w:rsidRDefault="003A081D">
            <w:pPr>
              <w:jc w:val="center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Исполнено в 2013 году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3A081D" w:rsidRPr="000427F7" w:rsidRDefault="003A081D">
            <w:pPr>
              <w:jc w:val="center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Отклонение</w:t>
            </w:r>
          </w:p>
        </w:tc>
      </w:tr>
      <w:tr w:rsidR="003A081D" w:rsidTr="00074EDF">
        <w:trPr>
          <w:trHeight w:val="519"/>
        </w:trPr>
        <w:tc>
          <w:tcPr>
            <w:tcW w:w="3701" w:type="dxa"/>
            <w:vMerge/>
            <w:shd w:val="clear" w:color="auto" w:fill="D9D9D9" w:themeFill="background1" w:themeFillShade="D9"/>
            <w:vAlign w:val="center"/>
            <w:hideMark/>
          </w:tcPr>
          <w:p w:rsidR="003A081D" w:rsidRPr="000427F7" w:rsidRDefault="003A08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  <w:hideMark/>
          </w:tcPr>
          <w:p w:rsidR="003A081D" w:rsidRPr="000427F7" w:rsidRDefault="003A08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  <w:hideMark/>
          </w:tcPr>
          <w:p w:rsidR="003A081D" w:rsidRPr="000427F7" w:rsidRDefault="003A08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3A081D" w:rsidRPr="000427F7" w:rsidRDefault="003A081D">
            <w:pPr>
              <w:jc w:val="center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3A081D" w:rsidRPr="000427F7" w:rsidRDefault="003A081D">
            <w:pPr>
              <w:jc w:val="center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%</w:t>
            </w:r>
          </w:p>
        </w:tc>
      </w:tr>
      <w:tr w:rsidR="00266D94" w:rsidTr="00074EDF">
        <w:trPr>
          <w:trHeight w:val="1563"/>
        </w:trPr>
        <w:tc>
          <w:tcPr>
            <w:tcW w:w="3701" w:type="dxa"/>
            <w:shd w:val="clear" w:color="auto" w:fill="auto"/>
            <w:vAlign w:val="bottom"/>
          </w:tcPr>
          <w:p w:rsidR="00266D94" w:rsidRPr="00266D94" w:rsidRDefault="00266D94" w:rsidP="00B01F62">
            <w:pPr>
              <w:jc w:val="both"/>
              <w:rPr>
                <w:color w:val="000000"/>
                <w:sz w:val="22"/>
                <w:szCs w:val="22"/>
              </w:rPr>
            </w:pPr>
            <w:r w:rsidRPr="00266D94">
              <w:rPr>
                <w:sz w:val="22"/>
                <w:szCs w:val="22"/>
              </w:rPr>
              <w:t>Долгосрочная муниципальная целевая программа «Противодействие коррупции в городском округе Котельники Московской области на 2013-2015 годы»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6D94" w:rsidRPr="000427F7" w:rsidRDefault="00266D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6D94" w:rsidRPr="000427F7" w:rsidRDefault="00266D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6D94" w:rsidRPr="000427F7" w:rsidRDefault="00266D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6D94" w:rsidRPr="000427F7" w:rsidRDefault="00266D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A081D" w:rsidTr="00074EDF">
        <w:trPr>
          <w:trHeight w:val="1563"/>
        </w:trPr>
        <w:tc>
          <w:tcPr>
            <w:tcW w:w="3701" w:type="dxa"/>
            <w:shd w:val="clear" w:color="auto" w:fill="auto"/>
            <w:vAlign w:val="bottom"/>
            <w:hideMark/>
          </w:tcPr>
          <w:p w:rsidR="003A081D" w:rsidRPr="000427F7" w:rsidRDefault="003A081D" w:rsidP="00B01F62">
            <w:pPr>
              <w:jc w:val="both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 xml:space="preserve">Долгосрочная целевая программа городского округа Котельники Московской области «Развитие аппаратно-программного комплекса «Безопасный город» на 2013-2015 годы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1880,0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1436,0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444,0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76,4</w:t>
            </w:r>
          </w:p>
        </w:tc>
      </w:tr>
      <w:tr w:rsidR="003A081D" w:rsidTr="00074EDF">
        <w:trPr>
          <w:trHeight w:val="1313"/>
        </w:trPr>
        <w:tc>
          <w:tcPr>
            <w:tcW w:w="3701" w:type="dxa"/>
            <w:shd w:val="clear" w:color="auto" w:fill="auto"/>
            <w:vAlign w:val="bottom"/>
            <w:hideMark/>
          </w:tcPr>
          <w:p w:rsidR="003A081D" w:rsidRPr="000427F7" w:rsidRDefault="003A081D" w:rsidP="00B01F62">
            <w:pPr>
              <w:jc w:val="both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Комплексная программа мер социальной поддержки и социальной помощи отдельным категориям граждан городского округа Котельники Мос</w:t>
            </w:r>
            <w:r w:rsidR="00B01F62">
              <w:rPr>
                <w:color w:val="000000"/>
                <w:sz w:val="22"/>
                <w:szCs w:val="22"/>
              </w:rPr>
              <w:t>ковской области на 2012-2014 г.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7105,0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5076,0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2029,0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71,4</w:t>
            </w:r>
          </w:p>
        </w:tc>
      </w:tr>
      <w:tr w:rsidR="00266D94" w:rsidTr="00074EDF">
        <w:trPr>
          <w:trHeight w:val="1313"/>
        </w:trPr>
        <w:tc>
          <w:tcPr>
            <w:tcW w:w="3701" w:type="dxa"/>
            <w:shd w:val="clear" w:color="auto" w:fill="auto"/>
            <w:vAlign w:val="bottom"/>
          </w:tcPr>
          <w:p w:rsidR="00266D94" w:rsidRPr="00266D94" w:rsidRDefault="00266D94" w:rsidP="00B01F62">
            <w:pPr>
              <w:jc w:val="both"/>
              <w:rPr>
                <w:color w:val="000000"/>
                <w:sz w:val="22"/>
                <w:szCs w:val="22"/>
              </w:rPr>
            </w:pPr>
            <w:r w:rsidRPr="00266D94">
              <w:rPr>
                <w:sz w:val="22"/>
                <w:szCs w:val="22"/>
              </w:rPr>
              <w:t>Долгосрочная целевая программа городского округа Котельники Московской области «Создание информационной системы обеспечения градостроительной деятельности городского округа Котельники Московской области на 2013-2015гг.»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6D94" w:rsidRPr="000427F7" w:rsidRDefault="00266D94">
            <w:pPr>
              <w:jc w:val="right"/>
              <w:rPr>
                <w:color w:val="000000"/>
                <w:sz w:val="22"/>
                <w:szCs w:val="22"/>
              </w:rPr>
            </w:pPr>
            <w:r>
              <w:t>1650,0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6D94" w:rsidRPr="000427F7" w:rsidRDefault="00266D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6D94" w:rsidRPr="000427F7" w:rsidRDefault="00266D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6D94" w:rsidRPr="000427F7" w:rsidRDefault="00266D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A081D" w:rsidTr="00074EDF">
        <w:trPr>
          <w:trHeight w:val="1493"/>
        </w:trPr>
        <w:tc>
          <w:tcPr>
            <w:tcW w:w="3701" w:type="dxa"/>
            <w:shd w:val="clear" w:color="auto" w:fill="auto"/>
            <w:vAlign w:val="bottom"/>
            <w:hideMark/>
          </w:tcPr>
          <w:p w:rsidR="003A081D" w:rsidRPr="000427F7" w:rsidRDefault="003A081D" w:rsidP="00B01F62">
            <w:pPr>
              <w:jc w:val="both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lastRenderedPageBreak/>
              <w:t>Муниципальная программа «Приведение балконов многоквартирных домов, расположенных на территории городского округа Котельники в надлежащее техническое состояние на 2011-2013годы»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2118,0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1935,0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183,0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91,4</w:t>
            </w:r>
          </w:p>
        </w:tc>
      </w:tr>
      <w:tr w:rsidR="003A081D" w:rsidTr="00074EDF">
        <w:trPr>
          <w:trHeight w:val="753"/>
        </w:trPr>
        <w:tc>
          <w:tcPr>
            <w:tcW w:w="3701" w:type="dxa"/>
            <w:shd w:val="clear" w:color="auto" w:fill="auto"/>
            <w:vAlign w:val="bottom"/>
            <w:hideMark/>
          </w:tcPr>
          <w:p w:rsidR="003A081D" w:rsidRPr="000427F7" w:rsidRDefault="003A081D" w:rsidP="00B01F62">
            <w:pPr>
              <w:jc w:val="both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Программа комплексного развития систем коммунальной инфраструктуры городского округа Котельники Московской области на период 2011-2015гг.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5398,0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5197,0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201,0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3A081D" w:rsidTr="00074EDF">
        <w:trPr>
          <w:trHeight w:val="70"/>
        </w:trPr>
        <w:tc>
          <w:tcPr>
            <w:tcW w:w="3701" w:type="dxa"/>
            <w:shd w:val="clear" w:color="auto" w:fill="auto"/>
            <w:vAlign w:val="bottom"/>
            <w:hideMark/>
          </w:tcPr>
          <w:p w:rsidR="003A081D" w:rsidRPr="000427F7" w:rsidRDefault="003A081D" w:rsidP="00B01F62">
            <w:pPr>
              <w:jc w:val="both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Муниципальная целевая программа «Дороги городского округа Котельники Московской области на 2013-2014 годы»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9300,0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9156,0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3A081D" w:rsidTr="00074EDF">
        <w:trPr>
          <w:trHeight w:val="944"/>
        </w:trPr>
        <w:tc>
          <w:tcPr>
            <w:tcW w:w="3701" w:type="dxa"/>
            <w:shd w:val="clear" w:color="auto" w:fill="auto"/>
            <w:vAlign w:val="bottom"/>
            <w:hideMark/>
          </w:tcPr>
          <w:p w:rsidR="003A081D" w:rsidRPr="000427F7" w:rsidRDefault="003A081D" w:rsidP="00B01F62">
            <w:pPr>
              <w:jc w:val="both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Программа «Оздоровление экологической ситуации в городском округе Котельники на период 2010-2015 г.»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A081D" w:rsidTr="00074EDF">
        <w:trPr>
          <w:trHeight w:val="1102"/>
        </w:trPr>
        <w:tc>
          <w:tcPr>
            <w:tcW w:w="3701" w:type="dxa"/>
            <w:shd w:val="clear" w:color="auto" w:fill="auto"/>
            <w:vAlign w:val="bottom"/>
            <w:hideMark/>
          </w:tcPr>
          <w:p w:rsidR="003A081D" w:rsidRPr="000427F7" w:rsidRDefault="003A081D" w:rsidP="00B01F62">
            <w:pPr>
              <w:jc w:val="both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Целев</w:t>
            </w:r>
            <w:r w:rsidR="00E1203B" w:rsidRPr="000427F7">
              <w:rPr>
                <w:color w:val="000000"/>
                <w:sz w:val="22"/>
                <w:szCs w:val="22"/>
              </w:rPr>
              <w:t>а</w:t>
            </w:r>
            <w:r w:rsidR="006970B1" w:rsidRPr="000427F7">
              <w:rPr>
                <w:color w:val="000000"/>
                <w:sz w:val="22"/>
                <w:szCs w:val="22"/>
              </w:rPr>
              <w:t>я</w:t>
            </w:r>
            <w:r w:rsidRPr="000427F7">
              <w:rPr>
                <w:color w:val="000000"/>
                <w:sz w:val="22"/>
                <w:szCs w:val="22"/>
              </w:rPr>
              <w:t xml:space="preserve"> программа развития сети дошкольных образовательных учреждений городского округа Котельники Московской области на 2012-2014гг.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218630,0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16470,0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202160,0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3A081D" w:rsidTr="00074EDF">
        <w:trPr>
          <w:trHeight w:val="984"/>
        </w:trPr>
        <w:tc>
          <w:tcPr>
            <w:tcW w:w="3701" w:type="dxa"/>
            <w:shd w:val="clear" w:color="auto" w:fill="auto"/>
            <w:vAlign w:val="bottom"/>
            <w:hideMark/>
          </w:tcPr>
          <w:p w:rsidR="003A081D" w:rsidRPr="000427F7" w:rsidRDefault="003A081D" w:rsidP="00B01F62">
            <w:pPr>
              <w:jc w:val="both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Долгосрочная целевая программа «Обеспечение жильем молодых семей городского округа Котельники Московской области на 2013-2015 годы»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1150,0*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1150,0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A081D" w:rsidTr="00074EDF">
        <w:trPr>
          <w:trHeight w:val="172"/>
        </w:trPr>
        <w:tc>
          <w:tcPr>
            <w:tcW w:w="3701" w:type="dxa"/>
            <w:shd w:val="clear" w:color="auto" w:fill="D9D9D9" w:themeFill="background1" w:themeFillShade="D9"/>
            <w:noWrap/>
            <w:vAlign w:val="bottom"/>
            <w:hideMark/>
          </w:tcPr>
          <w:p w:rsidR="003A081D" w:rsidRPr="000427F7" w:rsidRDefault="003A081D">
            <w:pPr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A081D" w:rsidRPr="000427F7" w:rsidRDefault="00266D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247866</w:t>
            </w:r>
            <w:r w:rsidR="003A081D" w:rsidRPr="000427F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3A081D" w:rsidRPr="000427F7" w:rsidRDefault="003A081D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41020,0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3A081D" w:rsidRPr="000427F7" w:rsidRDefault="00266D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206846</w:t>
            </w:r>
            <w:r w:rsidR="003A081D" w:rsidRPr="000427F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3A081D" w:rsidRPr="000427F7" w:rsidRDefault="003A081D" w:rsidP="00266D94">
            <w:pPr>
              <w:jc w:val="right"/>
              <w:rPr>
                <w:color w:val="000000"/>
                <w:sz w:val="22"/>
                <w:szCs w:val="22"/>
              </w:rPr>
            </w:pPr>
            <w:r w:rsidRPr="000427F7">
              <w:rPr>
                <w:color w:val="000000"/>
                <w:sz w:val="22"/>
                <w:szCs w:val="22"/>
              </w:rPr>
              <w:t>16,</w:t>
            </w:r>
            <w:r w:rsidR="00266D94">
              <w:rPr>
                <w:color w:val="000000"/>
                <w:sz w:val="22"/>
                <w:szCs w:val="22"/>
              </w:rPr>
              <w:t>6</w:t>
            </w:r>
          </w:p>
        </w:tc>
      </w:tr>
    </w:tbl>
    <w:p w:rsidR="003A081D" w:rsidRPr="0036488D" w:rsidRDefault="0036488D" w:rsidP="0036488D">
      <w:pPr>
        <w:ind w:firstLine="540"/>
        <w:jc w:val="both"/>
      </w:pPr>
      <w:r w:rsidRPr="0036488D">
        <w:t>* - сумма указана с учетом средств, выделенных из резервного фонда в размере 620,0 тыс. руб. (Постановление Главы городского округа Котельники от 26.04.2013 № 345-ПГ).</w:t>
      </w:r>
    </w:p>
    <w:p w:rsidR="003A081D" w:rsidRDefault="003A081D" w:rsidP="0036488D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2013 году из бюджета городского округа п</w:t>
      </w:r>
      <w:r w:rsidR="00EF4FFC" w:rsidRPr="00EF4FFC">
        <w:rPr>
          <w:sz w:val="28"/>
          <w:szCs w:val="28"/>
        </w:rPr>
        <w:t xml:space="preserve">рофинансировано </w:t>
      </w:r>
      <w:r w:rsidR="00266D94">
        <w:rPr>
          <w:sz w:val="28"/>
          <w:szCs w:val="28"/>
        </w:rPr>
        <w:t>10</w:t>
      </w:r>
      <w:r w:rsidR="00EF4FFC" w:rsidRPr="00EF4FFC">
        <w:rPr>
          <w:sz w:val="28"/>
          <w:szCs w:val="28"/>
        </w:rPr>
        <w:t xml:space="preserve"> долгосрочных целевых программ, на общую сумму </w:t>
      </w:r>
      <w:r w:rsidR="00266D94">
        <w:rPr>
          <w:sz w:val="28"/>
          <w:szCs w:val="28"/>
        </w:rPr>
        <w:t>247866</w:t>
      </w:r>
      <w:r>
        <w:rPr>
          <w:sz w:val="28"/>
          <w:szCs w:val="28"/>
        </w:rPr>
        <w:t>,0</w:t>
      </w:r>
      <w:r w:rsidR="00EF4FFC" w:rsidRPr="00EF4FFC">
        <w:rPr>
          <w:sz w:val="28"/>
          <w:szCs w:val="28"/>
        </w:rPr>
        <w:t xml:space="preserve"> тыс. руб. или </w:t>
      </w:r>
      <w:r w:rsidR="00266D94">
        <w:rPr>
          <w:sz w:val="28"/>
          <w:szCs w:val="28"/>
        </w:rPr>
        <w:t>19,9</w:t>
      </w:r>
      <w:r w:rsidR="00EF4FFC" w:rsidRPr="00EF4FFC">
        <w:rPr>
          <w:sz w:val="28"/>
          <w:szCs w:val="28"/>
        </w:rPr>
        <w:t xml:space="preserve">% от утвержденных </w:t>
      </w:r>
      <w:r>
        <w:rPr>
          <w:sz w:val="28"/>
          <w:szCs w:val="28"/>
        </w:rPr>
        <w:t>годовых бюджетных ассигнований на 2013 год</w:t>
      </w:r>
      <w:r w:rsidR="00EF4FFC" w:rsidRPr="00EF4FFC">
        <w:rPr>
          <w:sz w:val="28"/>
          <w:szCs w:val="28"/>
        </w:rPr>
        <w:t xml:space="preserve"> (в 201</w:t>
      </w:r>
      <w:r>
        <w:rPr>
          <w:sz w:val="28"/>
          <w:szCs w:val="28"/>
        </w:rPr>
        <w:t>2</w:t>
      </w:r>
      <w:r w:rsidR="00EF4FFC" w:rsidRPr="00EF4FFC">
        <w:rPr>
          <w:sz w:val="28"/>
          <w:szCs w:val="28"/>
        </w:rPr>
        <w:t xml:space="preserve">г. процент </w:t>
      </w:r>
      <w:r>
        <w:rPr>
          <w:sz w:val="28"/>
          <w:szCs w:val="28"/>
        </w:rPr>
        <w:t xml:space="preserve">финансирования </w:t>
      </w:r>
      <w:r w:rsidR="00EF4FFC" w:rsidRPr="00EF4FFC">
        <w:rPr>
          <w:sz w:val="28"/>
          <w:szCs w:val="28"/>
        </w:rPr>
        <w:t>составлял –</w:t>
      </w:r>
      <w:r>
        <w:rPr>
          <w:sz w:val="28"/>
          <w:szCs w:val="28"/>
        </w:rPr>
        <w:t xml:space="preserve"> </w:t>
      </w:r>
      <w:r w:rsidR="00EF4FFC" w:rsidRPr="00EF4FFC">
        <w:rPr>
          <w:sz w:val="28"/>
          <w:szCs w:val="28"/>
        </w:rPr>
        <w:t>2%).</w:t>
      </w:r>
    </w:p>
    <w:p w:rsidR="00EF4FFC" w:rsidRDefault="00EF4FFC" w:rsidP="00EF4FFC">
      <w:pPr>
        <w:ind w:firstLine="540"/>
        <w:jc w:val="both"/>
        <w:rPr>
          <w:sz w:val="28"/>
          <w:szCs w:val="28"/>
        </w:rPr>
      </w:pPr>
      <w:r w:rsidRPr="00EF4FFC">
        <w:rPr>
          <w:sz w:val="28"/>
          <w:szCs w:val="28"/>
        </w:rPr>
        <w:t xml:space="preserve">  </w:t>
      </w:r>
      <w:r w:rsidR="003A081D">
        <w:rPr>
          <w:sz w:val="28"/>
          <w:szCs w:val="28"/>
        </w:rPr>
        <w:t>Фактически расходы на финансирование мероприятий долгосрочных целевых программ  составили 41020,0 тыс. руб. или 16,</w:t>
      </w:r>
      <w:r w:rsidR="00266D94">
        <w:rPr>
          <w:sz w:val="28"/>
          <w:szCs w:val="28"/>
        </w:rPr>
        <w:t>6</w:t>
      </w:r>
      <w:r w:rsidR="003A081D">
        <w:rPr>
          <w:sz w:val="28"/>
          <w:szCs w:val="28"/>
        </w:rPr>
        <w:t>% от утвержденных бюджетных ассигнований</w:t>
      </w:r>
      <w:r w:rsidR="0036488D">
        <w:rPr>
          <w:sz w:val="28"/>
          <w:szCs w:val="28"/>
        </w:rPr>
        <w:t>,</w:t>
      </w:r>
      <w:r w:rsidR="003A081D">
        <w:rPr>
          <w:sz w:val="28"/>
          <w:szCs w:val="28"/>
        </w:rPr>
        <w:t xml:space="preserve"> </w:t>
      </w:r>
      <w:r w:rsidR="0036488D">
        <w:rPr>
          <w:sz w:val="28"/>
          <w:szCs w:val="28"/>
        </w:rPr>
        <w:t xml:space="preserve">выделенных </w:t>
      </w:r>
      <w:r w:rsidR="003A081D">
        <w:rPr>
          <w:sz w:val="28"/>
          <w:szCs w:val="28"/>
        </w:rPr>
        <w:t xml:space="preserve">на </w:t>
      </w:r>
      <w:r w:rsidR="0036488D">
        <w:rPr>
          <w:sz w:val="28"/>
          <w:szCs w:val="28"/>
        </w:rPr>
        <w:t xml:space="preserve">финансирование программ в </w:t>
      </w:r>
      <w:r w:rsidR="003A081D">
        <w:rPr>
          <w:sz w:val="28"/>
          <w:szCs w:val="28"/>
        </w:rPr>
        <w:t>2013 год</w:t>
      </w:r>
      <w:r w:rsidR="0036488D">
        <w:rPr>
          <w:sz w:val="28"/>
          <w:szCs w:val="28"/>
        </w:rPr>
        <w:t>у</w:t>
      </w:r>
      <w:r w:rsidR="003A081D">
        <w:rPr>
          <w:sz w:val="28"/>
          <w:szCs w:val="28"/>
        </w:rPr>
        <w:t xml:space="preserve">. </w:t>
      </w:r>
    </w:p>
    <w:p w:rsidR="006970B1" w:rsidRPr="006970B1" w:rsidRDefault="0025149F" w:rsidP="00EF4F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Наименьший процент расходов на финансирование</w:t>
      </w:r>
      <w:r w:rsidRPr="006970B1">
        <w:rPr>
          <w:sz w:val="28"/>
          <w:szCs w:val="28"/>
        </w:rPr>
        <w:t xml:space="preserve"> </w:t>
      </w:r>
      <w:r w:rsidR="006970B1" w:rsidRPr="006970B1">
        <w:rPr>
          <w:sz w:val="28"/>
          <w:szCs w:val="28"/>
        </w:rPr>
        <w:t>ц</w:t>
      </w:r>
      <w:r w:rsidR="006970B1" w:rsidRPr="006970B1">
        <w:rPr>
          <w:color w:val="000000"/>
          <w:sz w:val="28"/>
          <w:szCs w:val="28"/>
        </w:rPr>
        <w:t xml:space="preserve">елевой программы «Развитие сети дошкольных образовательных учреждений городского округа Котельники Московской области на 2012-2014гг.» </w:t>
      </w:r>
      <w:r>
        <w:rPr>
          <w:sz w:val="28"/>
          <w:szCs w:val="28"/>
        </w:rPr>
        <w:t>от утвержденных бюджетных ассигнований</w:t>
      </w:r>
      <w:r w:rsidRPr="006970B1">
        <w:rPr>
          <w:color w:val="000000"/>
          <w:sz w:val="28"/>
          <w:szCs w:val="28"/>
        </w:rPr>
        <w:t xml:space="preserve"> </w:t>
      </w:r>
      <w:r w:rsidR="006970B1" w:rsidRPr="006970B1">
        <w:rPr>
          <w:color w:val="000000"/>
          <w:sz w:val="28"/>
          <w:szCs w:val="28"/>
        </w:rPr>
        <w:t>составил 7,5%</w:t>
      </w:r>
      <w:r>
        <w:rPr>
          <w:color w:val="000000"/>
          <w:sz w:val="28"/>
          <w:szCs w:val="28"/>
        </w:rPr>
        <w:t xml:space="preserve"> в связи</w:t>
      </w:r>
      <w:r w:rsidR="006970B1" w:rsidRPr="006970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неосуществленными </w:t>
      </w:r>
      <w:r>
        <w:rPr>
          <w:sz w:val="28"/>
          <w:szCs w:val="28"/>
        </w:rPr>
        <w:t>работами по строительству детского дошкольного учреждения</w:t>
      </w:r>
      <w:r w:rsidR="006970B1">
        <w:rPr>
          <w:sz w:val="28"/>
          <w:szCs w:val="28"/>
        </w:rPr>
        <w:t>.</w:t>
      </w:r>
    </w:p>
    <w:p w:rsidR="0036488D" w:rsidRDefault="0036488D" w:rsidP="0036488D">
      <w:pPr>
        <w:ind w:firstLine="540"/>
        <w:jc w:val="both"/>
        <w:rPr>
          <w:sz w:val="28"/>
          <w:szCs w:val="28"/>
        </w:rPr>
      </w:pPr>
      <w:r w:rsidRPr="00B717C4">
        <w:rPr>
          <w:sz w:val="28"/>
          <w:szCs w:val="28"/>
        </w:rPr>
        <w:t>Доля осуществленных в 201</w:t>
      </w:r>
      <w:r>
        <w:rPr>
          <w:sz w:val="28"/>
          <w:szCs w:val="28"/>
        </w:rPr>
        <w:t>3</w:t>
      </w:r>
      <w:r w:rsidRPr="00B717C4">
        <w:rPr>
          <w:sz w:val="28"/>
          <w:szCs w:val="28"/>
        </w:rPr>
        <w:t xml:space="preserve"> году затрат на долгосрочные целевые программы составляет </w:t>
      </w:r>
      <w:r>
        <w:rPr>
          <w:b/>
          <w:sz w:val="28"/>
          <w:szCs w:val="28"/>
        </w:rPr>
        <w:t>4,13</w:t>
      </w:r>
      <w:r w:rsidRPr="00B93505">
        <w:rPr>
          <w:b/>
          <w:sz w:val="28"/>
          <w:szCs w:val="28"/>
        </w:rPr>
        <w:t>%</w:t>
      </w:r>
      <w:r w:rsidRPr="00B717C4">
        <w:rPr>
          <w:sz w:val="28"/>
          <w:szCs w:val="28"/>
        </w:rPr>
        <w:t xml:space="preserve"> </w:t>
      </w:r>
      <w:r w:rsidRPr="00EF4FFC">
        <w:rPr>
          <w:sz w:val="28"/>
          <w:szCs w:val="28"/>
        </w:rPr>
        <w:t xml:space="preserve">от </w:t>
      </w:r>
      <w:r>
        <w:rPr>
          <w:sz w:val="28"/>
          <w:szCs w:val="28"/>
        </w:rPr>
        <w:t>исполненных</w:t>
      </w:r>
      <w:r w:rsidRPr="00EF4FFC">
        <w:rPr>
          <w:sz w:val="28"/>
          <w:szCs w:val="28"/>
        </w:rPr>
        <w:t xml:space="preserve"> </w:t>
      </w:r>
      <w:r>
        <w:rPr>
          <w:sz w:val="28"/>
          <w:szCs w:val="28"/>
        </w:rPr>
        <w:t>годовых бюджетных назначений в 2013 году</w:t>
      </w:r>
      <w:r w:rsidRPr="00B717C4">
        <w:rPr>
          <w:sz w:val="28"/>
          <w:szCs w:val="28"/>
        </w:rPr>
        <w:t xml:space="preserve">. </w:t>
      </w:r>
    </w:p>
    <w:p w:rsidR="00EF4FFC" w:rsidRDefault="0036488D" w:rsidP="0036488D">
      <w:pPr>
        <w:ind w:firstLine="540"/>
        <w:jc w:val="both"/>
        <w:rPr>
          <w:sz w:val="28"/>
          <w:szCs w:val="28"/>
        </w:rPr>
      </w:pPr>
      <w:r w:rsidRPr="00B93505">
        <w:rPr>
          <w:sz w:val="28"/>
          <w:szCs w:val="28"/>
          <w:u w:val="single"/>
        </w:rPr>
        <w:lastRenderedPageBreak/>
        <w:t>Справочно:</w:t>
      </w:r>
      <w:r>
        <w:rPr>
          <w:sz w:val="28"/>
          <w:szCs w:val="28"/>
        </w:rPr>
        <w:t xml:space="preserve"> </w:t>
      </w:r>
      <w:r w:rsidRPr="00B717C4">
        <w:rPr>
          <w:sz w:val="28"/>
          <w:szCs w:val="28"/>
        </w:rPr>
        <w:t>В 201</w:t>
      </w:r>
      <w:r>
        <w:rPr>
          <w:sz w:val="28"/>
          <w:szCs w:val="28"/>
        </w:rPr>
        <w:t>2</w:t>
      </w:r>
      <w:r w:rsidRPr="00B717C4">
        <w:rPr>
          <w:sz w:val="28"/>
          <w:szCs w:val="28"/>
        </w:rPr>
        <w:t xml:space="preserve"> году доля затрат на финансирование долгосрочные целевые программы составляла </w:t>
      </w:r>
      <w:r w:rsidRPr="00B93505"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>23</w:t>
      </w:r>
      <w:r w:rsidRPr="00B93505">
        <w:rPr>
          <w:b/>
          <w:sz w:val="28"/>
          <w:szCs w:val="28"/>
        </w:rPr>
        <w:t>%</w:t>
      </w:r>
      <w:r w:rsidRPr="00B717C4">
        <w:rPr>
          <w:sz w:val="28"/>
          <w:szCs w:val="28"/>
        </w:rPr>
        <w:t xml:space="preserve"> от расходов бюджета городского округа</w:t>
      </w:r>
      <w:r>
        <w:rPr>
          <w:sz w:val="28"/>
          <w:szCs w:val="28"/>
        </w:rPr>
        <w:t>.</w:t>
      </w:r>
    </w:p>
    <w:p w:rsidR="006970B1" w:rsidRDefault="006970B1" w:rsidP="00EF4FFC">
      <w:pPr>
        <w:ind w:firstLine="540"/>
        <w:jc w:val="both"/>
        <w:rPr>
          <w:sz w:val="28"/>
          <w:szCs w:val="28"/>
          <w:highlight w:val="yellow"/>
        </w:rPr>
      </w:pPr>
    </w:p>
    <w:p w:rsidR="006970B1" w:rsidRPr="00A44441" w:rsidRDefault="006970B1" w:rsidP="006970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44441">
        <w:rPr>
          <w:b/>
          <w:bCs/>
          <w:sz w:val="28"/>
          <w:szCs w:val="28"/>
        </w:rPr>
        <w:t>. Анализ использования бюджетных ассигнований резервного</w:t>
      </w:r>
    </w:p>
    <w:p w:rsidR="006970B1" w:rsidRPr="00323E23" w:rsidRDefault="006970B1" w:rsidP="006970B1">
      <w:pPr>
        <w:widowControl w:val="0"/>
        <w:autoSpaceDE w:val="0"/>
        <w:autoSpaceDN w:val="0"/>
        <w:adjustRightInd w:val="0"/>
        <w:ind w:left="-142"/>
        <w:jc w:val="center"/>
        <w:rPr>
          <w:color w:val="FF0000"/>
          <w:sz w:val="28"/>
          <w:szCs w:val="28"/>
        </w:rPr>
      </w:pPr>
      <w:r w:rsidRPr="00A44441">
        <w:rPr>
          <w:b/>
          <w:bCs/>
          <w:sz w:val="28"/>
          <w:szCs w:val="28"/>
        </w:rPr>
        <w:t>фонда Администрации городского округа Котельники Московской области</w:t>
      </w:r>
    </w:p>
    <w:p w:rsidR="006970B1" w:rsidRPr="00B54AD3" w:rsidRDefault="006970B1" w:rsidP="006970B1">
      <w:pPr>
        <w:ind w:firstLine="567"/>
        <w:jc w:val="both"/>
        <w:rPr>
          <w:iCs/>
          <w:sz w:val="28"/>
          <w:szCs w:val="28"/>
        </w:rPr>
      </w:pPr>
      <w:r w:rsidRPr="00A44441">
        <w:rPr>
          <w:sz w:val="28"/>
          <w:szCs w:val="28"/>
        </w:rPr>
        <w:t>Резервный фонд на 2013 год утвержден в сумме 20655,00 тыс. руб</w:t>
      </w:r>
      <w:r w:rsidR="001E6297">
        <w:rPr>
          <w:sz w:val="28"/>
          <w:szCs w:val="28"/>
        </w:rPr>
        <w:t>.</w:t>
      </w:r>
      <w:r w:rsidRPr="00A44441">
        <w:rPr>
          <w:sz w:val="28"/>
          <w:szCs w:val="28"/>
        </w:rPr>
        <w:t>, что соответствует п.3 ст.81 Бюджетного кодекса РФ. Согласно указанной статье размер резервных фондов исполнительных органов государственной власти (местных администраций) не может превышать 3% общего объема расходов. Таким образом, резервный фонд не должен превышать 36016,35 тыс. руб.</w:t>
      </w:r>
      <w:r w:rsidRPr="00323E23">
        <w:rPr>
          <w:color w:val="FF0000"/>
          <w:sz w:val="28"/>
          <w:szCs w:val="28"/>
        </w:rPr>
        <w:t xml:space="preserve"> </w:t>
      </w:r>
      <w:r w:rsidRPr="00B54AD3">
        <w:rPr>
          <w:sz w:val="28"/>
          <w:szCs w:val="28"/>
        </w:rPr>
        <w:t xml:space="preserve">За отчетный период объем резервного фонда уточнен и составляет </w:t>
      </w:r>
      <w:r w:rsidR="001E6297" w:rsidRPr="001E6297">
        <w:rPr>
          <w:sz w:val="28"/>
          <w:szCs w:val="28"/>
        </w:rPr>
        <w:t>8518</w:t>
      </w:r>
      <w:r w:rsidRPr="001E6297">
        <w:rPr>
          <w:sz w:val="28"/>
          <w:szCs w:val="28"/>
        </w:rPr>
        <w:t>,</w:t>
      </w:r>
      <w:r w:rsidRPr="00B54AD3">
        <w:rPr>
          <w:sz w:val="28"/>
          <w:szCs w:val="28"/>
        </w:rPr>
        <w:t>00 тыс. руб</w:t>
      </w:r>
      <w:r w:rsidR="001E6297">
        <w:rPr>
          <w:sz w:val="28"/>
          <w:szCs w:val="28"/>
        </w:rPr>
        <w:t>.</w:t>
      </w:r>
      <w:r w:rsidRPr="00B54AD3">
        <w:rPr>
          <w:sz w:val="28"/>
          <w:szCs w:val="28"/>
        </w:rPr>
        <w:t xml:space="preserve"> Остаток нераспределенных бюджетных ассигнований резервного фонда на 01.</w:t>
      </w:r>
      <w:r w:rsidR="001E6297">
        <w:rPr>
          <w:sz w:val="28"/>
          <w:szCs w:val="28"/>
        </w:rPr>
        <w:t>01.2014</w:t>
      </w:r>
      <w:r w:rsidRPr="00B54AD3">
        <w:rPr>
          <w:sz w:val="28"/>
          <w:szCs w:val="28"/>
        </w:rPr>
        <w:t xml:space="preserve"> составляет </w:t>
      </w:r>
      <w:r w:rsidR="001E6297">
        <w:rPr>
          <w:sz w:val="28"/>
          <w:szCs w:val="28"/>
        </w:rPr>
        <w:t>271</w:t>
      </w:r>
      <w:r w:rsidRPr="00B54AD3">
        <w:rPr>
          <w:sz w:val="28"/>
          <w:szCs w:val="28"/>
        </w:rPr>
        <w:t>,</w:t>
      </w:r>
      <w:r w:rsidR="001E6297">
        <w:rPr>
          <w:sz w:val="28"/>
          <w:szCs w:val="28"/>
        </w:rPr>
        <w:t>0</w:t>
      </w:r>
      <w:r w:rsidRPr="00B54AD3">
        <w:rPr>
          <w:sz w:val="28"/>
          <w:szCs w:val="28"/>
        </w:rPr>
        <w:t xml:space="preserve"> тыс. руб. </w:t>
      </w:r>
    </w:p>
    <w:p w:rsidR="006970B1" w:rsidRDefault="006970B1" w:rsidP="006970B1">
      <w:pPr>
        <w:widowControl w:val="0"/>
        <w:ind w:firstLine="720"/>
        <w:jc w:val="both"/>
        <w:rPr>
          <w:sz w:val="28"/>
          <w:szCs w:val="28"/>
        </w:rPr>
      </w:pPr>
      <w:r w:rsidRPr="00760FA0">
        <w:rPr>
          <w:sz w:val="28"/>
          <w:szCs w:val="28"/>
        </w:rPr>
        <w:t xml:space="preserve">Удельный вес расходования средств резервного фонда в расходах бюджета в целом  за </w:t>
      </w:r>
      <w:r w:rsidR="001E6297">
        <w:rPr>
          <w:sz w:val="28"/>
          <w:szCs w:val="28"/>
        </w:rPr>
        <w:t>2013 год</w:t>
      </w:r>
      <w:r w:rsidRPr="00760FA0">
        <w:rPr>
          <w:sz w:val="28"/>
          <w:szCs w:val="28"/>
        </w:rPr>
        <w:t xml:space="preserve"> составляет </w:t>
      </w:r>
      <w:r w:rsidR="001E6297">
        <w:rPr>
          <w:sz w:val="28"/>
          <w:szCs w:val="28"/>
        </w:rPr>
        <w:t>0,83</w:t>
      </w:r>
      <w:r w:rsidRPr="00760F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E1203B" w:rsidRDefault="001E6297" w:rsidP="00E1203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6970B1">
        <w:rPr>
          <w:sz w:val="28"/>
          <w:szCs w:val="28"/>
        </w:rPr>
        <w:t xml:space="preserve"> 2012 год </w:t>
      </w:r>
      <w:r>
        <w:rPr>
          <w:sz w:val="28"/>
          <w:szCs w:val="28"/>
        </w:rPr>
        <w:t>у</w:t>
      </w:r>
      <w:r w:rsidRPr="00760FA0">
        <w:rPr>
          <w:sz w:val="28"/>
          <w:szCs w:val="28"/>
        </w:rPr>
        <w:t xml:space="preserve">дельный вес расходования средств резервного фонда в расходах бюджета </w:t>
      </w:r>
      <w:r>
        <w:rPr>
          <w:sz w:val="28"/>
          <w:szCs w:val="28"/>
        </w:rPr>
        <w:t xml:space="preserve">в целом </w:t>
      </w:r>
      <w:r w:rsidRPr="00760FA0">
        <w:rPr>
          <w:sz w:val="28"/>
          <w:szCs w:val="28"/>
        </w:rPr>
        <w:t>составля</w:t>
      </w:r>
      <w:r>
        <w:rPr>
          <w:sz w:val="28"/>
          <w:szCs w:val="28"/>
        </w:rPr>
        <w:t>л</w:t>
      </w:r>
      <w:r w:rsidRPr="00760FA0">
        <w:rPr>
          <w:sz w:val="28"/>
          <w:szCs w:val="28"/>
        </w:rPr>
        <w:t xml:space="preserve"> </w:t>
      </w:r>
      <w:r>
        <w:rPr>
          <w:sz w:val="28"/>
          <w:szCs w:val="28"/>
        </w:rPr>
        <w:t>0,51</w:t>
      </w:r>
      <w:r w:rsidRPr="00760FA0">
        <w:rPr>
          <w:sz w:val="28"/>
          <w:szCs w:val="28"/>
        </w:rPr>
        <w:t>%</w:t>
      </w:r>
      <w:r w:rsidR="006970B1">
        <w:rPr>
          <w:sz w:val="28"/>
          <w:szCs w:val="28"/>
        </w:rPr>
        <w:t>.</w:t>
      </w:r>
    </w:p>
    <w:p w:rsidR="00E1203B" w:rsidRDefault="006970B1" w:rsidP="00E1203B">
      <w:pPr>
        <w:widowControl w:val="0"/>
        <w:ind w:firstLine="720"/>
        <w:jc w:val="both"/>
        <w:rPr>
          <w:sz w:val="28"/>
          <w:szCs w:val="28"/>
        </w:rPr>
      </w:pPr>
      <w:r w:rsidRPr="00EA2B83">
        <w:rPr>
          <w:iCs/>
          <w:sz w:val="28"/>
          <w:szCs w:val="28"/>
        </w:rPr>
        <w:t>Согласно Постановлени</w:t>
      </w:r>
      <w:r w:rsidR="00E1203B">
        <w:rPr>
          <w:iCs/>
          <w:sz w:val="28"/>
          <w:szCs w:val="28"/>
        </w:rPr>
        <w:t>й</w:t>
      </w:r>
      <w:r w:rsidRPr="00EA2B83">
        <w:rPr>
          <w:iCs/>
          <w:sz w:val="28"/>
          <w:szCs w:val="28"/>
        </w:rPr>
        <w:t xml:space="preserve"> Главы городского округа Котельники Московской области </w:t>
      </w:r>
      <w:r w:rsidRPr="00EA2B83">
        <w:rPr>
          <w:sz w:val="28"/>
          <w:szCs w:val="28"/>
        </w:rPr>
        <w:t>средства резервного фонда</w:t>
      </w:r>
      <w:r>
        <w:rPr>
          <w:sz w:val="28"/>
          <w:szCs w:val="28"/>
        </w:rPr>
        <w:t xml:space="preserve"> в 2013 год</w:t>
      </w:r>
      <w:r w:rsidR="00E1203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1203B">
        <w:rPr>
          <w:sz w:val="28"/>
          <w:szCs w:val="28"/>
        </w:rPr>
        <w:t xml:space="preserve">были направлены на следующие разделы </w:t>
      </w:r>
      <w:r w:rsidR="00E1203B" w:rsidRPr="00EF4FFC">
        <w:rPr>
          <w:sz w:val="28"/>
          <w:szCs w:val="28"/>
        </w:rPr>
        <w:t>функциональной классификации расходов бюджета городского округа Котельники</w:t>
      </w:r>
      <w:r w:rsidR="00E1203B">
        <w:rPr>
          <w:sz w:val="28"/>
          <w:szCs w:val="28"/>
        </w:rPr>
        <w:t>:</w:t>
      </w:r>
    </w:p>
    <w:p w:rsidR="00F93D74" w:rsidRDefault="00F93D74" w:rsidP="00153E2D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153E2D">
        <w:rPr>
          <w:color w:val="000000"/>
          <w:sz w:val="28"/>
          <w:szCs w:val="28"/>
        </w:rPr>
        <w:t>- р</w:t>
      </w:r>
      <w:r w:rsidR="00E1203B" w:rsidRPr="00153E2D">
        <w:rPr>
          <w:color w:val="000000"/>
          <w:sz w:val="28"/>
          <w:szCs w:val="28"/>
        </w:rPr>
        <w:t>аздел</w:t>
      </w:r>
      <w:r w:rsidRPr="00153E2D">
        <w:rPr>
          <w:color w:val="000000"/>
          <w:sz w:val="28"/>
          <w:szCs w:val="28"/>
        </w:rPr>
        <w:t xml:space="preserve"> 0</w:t>
      </w:r>
      <w:r w:rsidR="00E1203B" w:rsidRPr="00153E2D">
        <w:rPr>
          <w:color w:val="000000"/>
          <w:sz w:val="28"/>
          <w:szCs w:val="28"/>
        </w:rPr>
        <w:t>1</w:t>
      </w:r>
      <w:r w:rsidRPr="00153E2D">
        <w:rPr>
          <w:color w:val="000000"/>
          <w:sz w:val="28"/>
          <w:szCs w:val="28"/>
        </w:rPr>
        <w:t xml:space="preserve"> </w:t>
      </w:r>
      <w:r w:rsidR="00E1203B" w:rsidRPr="00153E2D">
        <w:rPr>
          <w:sz w:val="28"/>
          <w:szCs w:val="28"/>
        </w:rPr>
        <w:t>«Общегосударственные вопросы» в общей сумме 546,0 тыс. руб. на оказание поддержки общественной некоммерческой организации «Местная религиозная организация православного прихода» казанского храма г.</w:t>
      </w:r>
      <w:r w:rsidR="00153E2D" w:rsidRPr="00153E2D">
        <w:rPr>
          <w:sz w:val="28"/>
          <w:szCs w:val="28"/>
        </w:rPr>
        <w:t xml:space="preserve"> </w:t>
      </w:r>
      <w:r w:rsidR="00E1203B" w:rsidRPr="00153E2D">
        <w:rPr>
          <w:sz w:val="28"/>
          <w:szCs w:val="28"/>
        </w:rPr>
        <w:t>Котельники</w:t>
      </w:r>
      <w:r w:rsidR="00153E2D" w:rsidRPr="00153E2D">
        <w:rPr>
          <w:sz w:val="28"/>
          <w:szCs w:val="28"/>
        </w:rPr>
        <w:t xml:space="preserve"> </w:t>
      </w:r>
      <w:r w:rsidR="00153E2D">
        <w:rPr>
          <w:sz w:val="28"/>
          <w:szCs w:val="28"/>
        </w:rPr>
        <w:t xml:space="preserve">и на </w:t>
      </w:r>
      <w:r w:rsidR="00153E2D" w:rsidRPr="00153E2D">
        <w:rPr>
          <w:sz w:val="28"/>
          <w:szCs w:val="28"/>
        </w:rPr>
        <w:t>оказание помощи для организации похорон</w:t>
      </w:r>
      <w:r w:rsidR="00153E2D">
        <w:rPr>
          <w:sz w:val="28"/>
          <w:szCs w:val="28"/>
        </w:rPr>
        <w:t xml:space="preserve"> (</w:t>
      </w:r>
      <w:r w:rsidR="00153E2D" w:rsidRPr="00025926">
        <w:rPr>
          <w:sz w:val="28"/>
          <w:szCs w:val="28"/>
        </w:rPr>
        <w:t>Постановление от 03.12.2013 №</w:t>
      </w:r>
      <w:r w:rsidR="00E11D16">
        <w:rPr>
          <w:sz w:val="28"/>
          <w:szCs w:val="28"/>
        </w:rPr>
        <w:t xml:space="preserve"> </w:t>
      </w:r>
      <w:r w:rsidR="00153E2D" w:rsidRPr="00025926">
        <w:rPr>
          <w:sz w:val="28"/>
          <w:szCs w:val="28"/>
        </w:rPr>
        <w:t>962-ПГ</w:t>
      </w:r>
      <w:r w:rsidR="00153E2D">
        <w:rPr>
          <w:sz w:val="28"/>
          <w:szCs w:val="28"/>
        </w:rPr>
        <w:t xml:space="preserve">, </w:t>
      </w:r>
      <w:r w:rsidR="00153E2D" w:rsidRPr="00025926">
        <w:rPr>
          <w:sz w:val="28"/>
          <w:szCs w:val="28"/>
        </w:rPr>
        <w:t>Постановление от 25.02.2013 №</w:t>
      </w:r>
      <w:r w:rsidR="00E11D16">
        <w:rPr>
          <w:sz w:val="28"/>
          <w:szCs w:val="28"/>
        </w:rPr>
        <w:t xml:space="preserve"> </w:t>
      </w:r>
      <w:r w:rsidR="00153E2D" w:rsidRPr="00025926">
        <w:rPr>
          <w:sz w:val="28"/>
          <w:szCs w:val="28"/>
        </w:rPr>
        <w:t>145-ПГ</w:t>
      </w:r>
      <w:r w:rsidR="00153E2D">
        <w:rPr>
          <w:sz w:val="28"/>
          <w:szCs w:val="28"/>
        </w:rPr>
        <w:t>)</w:t>
      </w:r>
      <w:r w:rsidRPr="00153E2D">
        <w:rPr>
          <w:color w:val="000000"/>
          <w:sz w:val="28"/>
          <w:szCs w:val="28"/>
        </w:rPr>
        <w:t>;</w:t>
      </w:r>
    </w:p>
    <w:p w:rsidR="00153E2D" w:rsidRDefault="00153E2D" w:rsidP="00153E2D">
      <w:pPr>
        <w:widowControl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153E2D">
        <w:rPr>
          <w:color w:val="000000"/>
          <w:sz w:val="28"/>
          <w:szCs w:val="28"/>
        </w:rPr>
        <w:t>- раздел 0</w:t>
      </w:r>
      <w:r>
        <w:rPr>
          <w:color w:val="000000"/>
          <w:sz w:val="28"/>
          <w:szCs w:val="28"/>
        </w:rPr>
        <w:t>3</w:t>
      </w:r>
      <w:r w:rsidRPr="00153E2D">
        <w:rPr>
          <w:color w:val="000000"/>
          <w:sz w:val="28"/>
          <w:szCs w:val="28"/>
        </w:rPr>
        <w:t xml:space="preserve"> </w:t>
      </w:r>
      <w:r w:rsidRPr="00153E2D">
        <w:rPr>
          <w:sz w:val="28"/>
          <w:szCs w:val="28"/>
        </w:rPr>
        <w:t xml:space="preserve">«Национальная безопасность и правоохранительная деятельность» в общей сумме </w:t>
      </w:r>
      <w:r>
        <w:rPr>
          <w:sz w:val="28"/>
          <w:szCs w:val="28"/>
        </w:rPr>
        <w:t>2058,7</w:t>
      </w:r>
      <w:r w:rsidRPr="00153E2D">
        <w:rPr>
          <w:sz w:val="28"/>
          <w:szCs w:val="28"/>
        </w:rPr>
        <w:t xml:space="preserve"> тыс. руб. на </w:t>
      </w:r>
      <w:r>
        <w:rPr>
          <w:sz w:val="28"/>
          <w:szCs w:val="28"/>
        </w:rPr>
        <w:t>п</w:t>
      </w:r>
      <w:r w:rsidRPr="00025926">
        <w:rPr>
          <w:sz w:val="28"/>
          <w:szCs w:val="28"/>
        </w:rPr>
        <w:t>роведение работ по очистке от снега и наледи на территории городского округа</w:t>
      </w:r>
      <w:r w:rsidRPr="00153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25926">
        <w:rPr>
          <w:sz w:val="28"/>
          <w:szCs w:val="28"/>
        </w:rPr>
        <w:t>на ликвидацию последствий и чрезвычайной ситуации 24.09.2013г., вызванной непрекращающимися ливневыми дождями</w:t>
      </w:r>
      <w:r>
        <w:rPr>
          <w:sz w:val="28"/>
          <w:szCs w:val="28"/>
        </w:rPr>
        <w:t xml:space="preserve"> (</w:t>
      </w:r>
      <w:r w:rsidRPr="00025926">
        <w:rPr>
          <w:sz w:val="28"/>
          <w:szCs w:val="28"/>
        </w:rPr>
        <w:t>Постановление от 19.</w:t>
      </w:r>
      <w:r>
        <w:rPr>
          <w:sz w:val="28"/>
          <w:szCs w:val="28"/>
        </w:rPr>
        <w:t>02</w:t>
      </w:r>
      <w:r w:rsidRPr="0002592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E11D16">
        <w:rPr>
          <w:sz w:val="28"/>
          <w:szCs w:val="28"/>
        </w:rPr>
        <w:t xml:space="preserve"> </w:t>
      </w:r>
      <w:r w:rsidRPr="00025926">
        <w:rPr>
          <w:sz w:val="28"/>
          <w:szCs w:val="28"/>
        </w:rPr>
        <w:t xml:space="preserve">№ </w:t>
      </w:r>
      <w:r w:rsidR="00E11D16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 w:rsidRPr="00025926">
        <w:rPr>
          <w:sz w:val="28"/>
          <w:szCs w:val="28"/>
        </w:rPr>
        <w:t>-ПГ</w:t>
      </w:r>
      <w:r>
        <w:rPr>
          <w:sz w:val="28"/>
          <w:szCs w:val="28"/>
        </w:rPr>
        <w:t xml:space="preserve">, </w:t>
      </w:r>
      <w:r w:rsidRPr="00025926">
        <w:rPr>
          <w:sz w:val="28"/>
          <w:szCs w:val="28"/>
        </w:rPr>
        <w:t>Постановление от 04.10.2013 №</w:t>
      </w:r>
      <w:r w:rsidR="00E11D16">
        <w:rPr>
          <w:sz w:val="28"/>
          <w:szCs w:val="28"/>
        </w:rPr>
        <w:t xml:space="preserve"> </w:t>
      </w:r>
      <w:r w:rsidRPr="00025926">
        <w:rPr>
          <w:sz w:val="28"/>
          <w:szCs w:val="28"/>
        </w:rPr>
        <w:t>762-ПГ</w:t>
      </w:r>
      <w:r>
        <w:rPr>
          <w:sz w:val="28"/>
          <w:szCs w:val="28"/>
        </w:rPr>
        <w:t xml:space="preserve">, </w:t>
      </w:r>
      <w:r w:rsidRPr="00025926">
        <w:rPr>
          <w:sz w:val="28"/>
          <w:szCs w:val="28"/>
        </w:rPr>
        <w:t>Постановление от 15.03.2013 № 205-ПГ</w:t>
      </w:r>
      <w:r>
        <w:rPr>
          <w:sz w:val="28"/>
          <w:szCs w:val="28"/>
        </w:rPr>
        <w:t>)</w:t>
      </w:r>
      <w:r w:rsidRPr="00153E2D">
        <w:rPr>
          <w:color w:val="000000"/>
          <w:sz w:val="28"/>
          <w:szCs w:val="28"/>
        </w:rPr>
        <w:t>;</w:t>
      </w:r>
      <w:proofErr w:type="gramEnd"/>
    </w:p>
    <w:p w:rsidR="00153E2D" w:rsidRDefault="00153E2D" w:rsidP="00153E2D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153E2D">
        <w:rPr>
          <w:color w:val="000000"/>
          <w:sz w:val="28"/>
          <w:szCs w:val="28"/>
        </w:rPr>
        <w:t>- раздел 0</w:t>
      </w:r>
      <w:r>
        <w:rPr>
          <w:color w:val="000000"/>
          <w:sz w:val="28"/>
          <w:szCs w:val="28"/>
        </w:rPr>
        <w:t>5</w:t>
      </w:r>
      <w:r w:rsidRPr="00153E2D">
        <w:rPr>
          <w:color w:val="000000"/>
          <w:sz w:val="28"/>
          <w:szCs w:val="28"/>
        </w:rPr>
        <w:t xml:space="preserve"> </w:t>
      </w:r>
      <w:r w:rsidRPr="00EF4FFC">
        <w:rPr>
          <w:sz w:val="28"/>
          <w:szCs w:val="28"/>
        </w:rPr>
        <w:t>«</w:t>
      </w:r>
      <w:r w:rsidRPr="00EF4FFC">
        <w:rPr>
          <w:bCs/>
          <w:sz w:val="28"/>
          <w:szCs w:val="28"/>
        </w:rPr>
        <w:t>Жилищно-коммунальное хозяйство»</w:t>
      </w:r>
      <w:r w:rsidRPr="00153E2D">
        <w:rPr>
          <w:sz w:val="28"/>
          <w:szCs w:val="28"/>
        </w:rPr>
        <w:t xml:space="preserve"> в общей сумме </w:t>
      </w:r>
      <w:r>
        <w:rPr>
          <w:sz w:val="28"/>
          <w:szCs w:val="28"/>
        </w:rPr>
        <w:t>2031,0</w:t>
      </w:r>
      <w:r w:rsidRPr="00153E2D">
        <w:rPr>
          <w:sz w:val="28"/>
          <w:szCs w:val="28"/>
        </w:rPr>
        <w:t xml:space="preserve"> тыс. руб. на </w:t>
      </w:r>
      <w:r>
        <w:rPr>
          <w:sz w:val="28"/>
          <w:szCs w:val="28"/>
        </w:rPr>
        <w:t>р</w:t>
      </w:r>
      <w:r w:rsidRPr="00025926">
        <w:rPr>
          <w:sz w:val="28"/>
          <w:szCs w:val="28"/>
        </w:rPr>
        <w:t xml:space="preserve">емонт кровли </w:t>
      </w:r>
      <w:r>
        <w:rPr>
          <w:sz w:val="28"/>
          <w:szCs w:val="28"/>
        </w:rPr>
        <w:t xml:space="preserve">и восстановление энергоснабжения </w:t>
      </w:r>
      <w:r w:rsidRPr="00025926">
        <w:rPr>
          <w:sz w:val="28"/>
          <w:szCs w:val="28"/>
        </w:rPr>
        <w:t xml:space="preserve">дома № 2 </w:t>
      </w:r>
      <w:proofErr w:type="spellStart"/>
      <w:r w:rsidRPr="00025926">
        <w:rPr>
          <w:sz w:val="28"/>
          <w:szCs w:val="28"/>
        </w:rPr>
        <w:t>мкр</w:t>
      </w:r>
      <w:proofErr w:type="spellEnd"/>
      <w:r w:rsidRPr="00025926">
        <w:rPr>
          <w:sz w:val="28"/>
          <w:szCs w:val="28"/>
        </w:rPr>
        <w:t>. Силикат</w:t>
      </w:r>
      <w:r>
        <w:rPr>
          <w:sz w:val="28"/>
          <w:szCs w:val="28"/>
        </w:rPr>
        <w:t xml:space="preserve">, </w:t>
      </w:r>
      <w:r w:rsidRPr="00025926">
        <w:rPr>
          <w:sz w:val="28"/>
          <w:szCs w:val="28"/>
        </w:rPr>
        <w:t xml:space="preserve">на ликвидацию последствий аварийного отключения электроэнергии в жилом секторе </w:t>
      </w:r>
      <w:proofErr w:type="spellStart"/>
      <w:r w:rsidRPr="00025926">
        <w:rPr>
          <w:sz w:val="28"/>
          <w:szCs w:val="28"/>
        </w:rPr>
        <w:t>мкр</w:t>
      </w:r>
      <w:proofErr w:type="spellEnd"/>
      <w:r w:rsidRPr="000259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25926">
        <w:rPr>
          <w:sz w:val="28"/>
          <w:szCs w:val="28"/>
        </w:rPr>
        <w:t>Силикат</w:t>
      </w:r>
      <w:r>
        <w:rPr>
          <w:sz w:val="28"/>
          <w:szCs w:val="28"/>
        </w:rPr>
        <w:t xml:space="preserve"> и на </w:t>
      </w:r>
      <w:r w:rsidRPr="00025926">
        <w:rPr>
          <w:sz w:val="28"/>
          <w:szCs w:val="28"/>
        </w:rPr>
        <w:t>восстановлени</w:t>
      </w:r>
      <w:r>
        <w:rPr>
          <w:sz w:val="28"/>
          <w:szCs w:val="28"/>
        </w:rPr>
        <w:t>е</w:t>
      </w:r>
      <w:r w:rsidRPr="00025926">
        <w:rPr>
          <w:sz w:val="28"/>
          <w:szCs w:val="28"/>
        </w:rPr>
        <w:t xml:space="preserve"> колонки транспортного светофора</w:t>
      </w:r>
      <w:r>
        <w:rPr>
          <w:sz w:val="28"/>
          <w:szCs w:val="28"/>
        </w:rPr>
        <w:t xml:space="preserve"> (</w:t>
      </w:r>
      <w:r w:rsidR="00E11D16" w:rsidRPr="00025926">
        <w:rPr>
          <w:sz w:val="28"/>
          <w:szCs w:val="28"/>
        </w:rPr>
        <w:t>Постановление от  16.04.2013 №</w:t>
      </w:r>
      <w:r w:rsidR="00E11D16">
        <w:rPr>
          <w:sz w:val="28"/>
          <w:szCs w:val="28"/>
        </w:rPr>
        <w:t xml:space="preserve"> </w:t>
      </w:r>
      <w:r w:rsidR="00E11D16" w:rsidRPr="00025926">
        <w:rPr>
          <w:sz w:val="28"/>
          <w:szCs w:val="28"/>
        </w:rPr>
        <w:t>308-ПГ</w:t>
      </w:r>
      <w:r w:rsidR="00E11D16">
        <w:rPr>
          <w:sz w:val="28"/>
          <w:szCs w:val="28"/>
        </w:rPr>
        <w:t xml:space="preserve">; </w:t>
      </w:r>
      <w:r w:rsidR="00E11D16" w:rsidRPr="00025926">
        <w:rPr>
          <w:sz w:val="28"/>
          <w:szCs w:val="28"/>
        </w:rPr>
        <w:t>Постановление от 24.07.2013 №</w:t>
      </w:r>
      <w:r w:rsidR="00E11D16">
        <w:rPr>
          <w:sz w:val="28"/>
          <w:szCs w:val="28"/>
        </w:rPr>
        <w:t xml:space="preserve"> </w:t>
      </w:r>
      <w:r w:rsidR="00E11D16" w:rsidRPr="00025926">
        <w:rPr>
          <w:sz w:val="28"/>
          <w:szCs w:val="28"/>
        </w:rPr>
        <w:t>585-ПГ</w:t>
      </w:r>
      <w:r w:rsidR="00E11D16">
        <w:rPr>
          <w:sz w:val="28"/>
          <w:szCs w:val="28"/>
        </w:rPr>
        <w:t xml:space="preserve">; </w:t>
      </w:r>
      <w:r w:rsidR="00E11D16" w:rsidRPr="00025926">
        <w:rPr>
          <w:sz w:val="28"/>
          <w:szCs w:val="28"/>
        </w:rPr>
        <w:t>Постановление от 20.12.2013 №</w:t>
      </w:r>
      <w:r w:rsidR="00E11D16">
        <w:rPr>
          <w:sz w:val="28"/>
          <w:szCs w:val="28"/>
        </w:rPr>
        <w:t xml:space="preserve"> </w:t>
      </w:r>
      <w:r w:rsidR="00E11D16" w:rsidRPr="00025926">
        <w:rPr>
          <w:sz w:val="28"/>
          <w:szCs w:val="28"/>
        </w:rPr>
        <w:t>1040-ПГ</w:t>
      </w:r>
      <w:r w:rsidR="00E11D16">
        <w:rPr>
          <w:sz w:val="28"/>
          <w:szCs w:val="28"/>
        </w:rPr>
        <w:t xml:space="preserve">; </w:t>
      </w:r>
      <w:r w:rsidR="00E11D16" w:rsidRPr="00025926">
        <w:rPr>
          <w:sz w:val="28"/>
          <w:szCs w:val="28"/>
        </w:rPr>
        <w:t>Постановление от 15.02.2013 №</w:t>
      </w:r>
      <w:r w:rsidR="00E11D16">
        <w:rPr>
          <w:sz w:val="28"/>
          <w:szCs w:val="28"/>
        </w:rPr>
        <w:t xml:space="preserve"> </w:t>
      </w:r>
      <w:r w:rsidR="00E11D16" w:rsidRPr="00025926">
        <w:rPr>
          <w:sz w:val="28"/>
          <w:szCs w:val="28"/>
        </w:rPr>
        <w:t>122-ПГ</w:t>
      </w:r>
      <w:r>
        <w:rPr>
          <w:sz w:val="28"/>
          <w:szCs w:val="28"/>
        </w:rPr>
        <w:t>)</w:t>
      </w:r>
      <w:r w:rsidRPr="00153E2D">
        <w:rPr>
          <w:color w:val="000000"/>
          <w:sz w:val="28"/>
          <w:szCs w:val="28"/>
        </w:rPr>
        <w:t>;</w:t>
      </w:r>
    </w:p>
    <w:p w:rsidR="00E11D16" w:rsidRDefault="00E11D16" w:rsidP="00153E2D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153E2D">
        <w:rPr>
          <w:color w:val="000000"/>
          <w:sz w:val="28"/>
          <w:szCs w:val="28"/>
        </w:rPr>
        <w:t>- раздел 0</w:t>
      </w:r>
      <w:r>
        <w:rPr>
          <w:color w:val="000000"/>
          <w:sz w:val="28"/>
          <w:szCs w:val="28"/>
        </w:rPr>
        <w:t>7</w:t>
      </w:r>
      <w:r w:rsidRPr="00153E2D">
        <w:rPr>
          <w:color w:val="000000"/>
          <w:sz w:val="28"/>
          <w:szCs w:val="28"/>
        </w:rPr>
        <w:t xml:space="preserve"> </w:t>
      </w:r>
      <w:r w:rsidRPr="00EF4FFC">
        <w:rPr>
          <w:sz w:val="28"/>
          <w:szCs w:val="28"/>
        </w:rPr>
        <w:t>«</w:t>
      </w:r>
      <w:r>
        <w:rPr>
          <w:bCs/>
          <w:sz w:val="28"/>
          <w:szCs w:val="28"/>
        </w:rPr>
        <w:t>Образование</w:t>
      </w:r>
      <w:r w:rsidRPr="00EF4FFC">
        <w:rPr>
          <w:bCs/>
          <w:sz w:val="28"/>
          <w:szCs w:val="28"/>
        </w:rPr>
        <w:t>»</w:t>
      </w:r>
      <w:r w:rsidRPr="00153E2D">
        <w:rPr>
          <w:sz w:val="28"/>
          <w:szCs w:val="28"/>
        </w:rPr>
        <w:t xml:space="preserve"> в общей сумме </w:t>
      </w:r>
      <w:r>
        <w:rPr>
          <w:sz w:val="28"/>
          <w:szCs w:val="28"/>
        </w:rPr>
        <w:t>1706,0</w:t>
      </w:r>
      <w:r w:rsidRPr="00153E2D">
        <w:rPr>
          <w:sz w:val="28"/>
          <w:szCs w:val="28"/>
        </w:rPr>
        <w:t xml:space="preserve"> тыс. руб. на </w:t>
      </w:r>
      <w:r>
        <w:rPr>
          <w:sz w:val="28"/>
          <w:szCs w:val="28"/>
        </w:rPr>
        <w:lastRenderedPageBreak/>
        <w:t>п</w:t>
      </w:r>
      <w:r w:rsidRPr="00025926">
        <w:rPr>
          <w:sz w:val="28"/>
          <w:szCs w:val="28"/>
        </w:rPr>
        <w:t>риобретение основных сре</w:t>
      </w:r>
      <w:proofErr w:type="gramStart"/>
      <w:r w:rsidRPr="00025926">
        <w:rPr>
          <w:sz w:val="28"/>
          <w:szCs w:val="28"/>
        </w:rPr>
        <w:t>дств</w:t>
      </w:r>
      <w:r w:rsidRPr="00E11D1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25926">
        <w:rPr>
          <w:sz w:val="28"/>
          <w:szCs w:val="28"/>
        </w:rPr>
        <w:t>л</w:t>
      </w:r>
      <w:proofErr w:type="gramEnd"/>
      <w:r w:rsidRPr="00025926">
        <w:rPr>
          <w:sz w:val="28"/>
          <w:szCs w:val="28"/>
        </w:rPr>
        <w:t>я нужд МБДОУ д/с «Солнышко»</w:t>
      </w:r>
      <w:r>
        <w:rPr>
          <w:sz w:val="28"/>
          <w:szCs w:val="28"/>
        </w:rPr>
        <w:t xml:space="preserve"> и</w:t>
      </w:r>
      <w:r w:rsidRPr="00025926">
        <w:rPr>
          <w:sz w:val="28"/>
          <w:szCs w:val="28"/>
        </w:rPr>
        <w:t xml:space="preserve"> на приобретение оборудования для завершения строительства </w:t>
      </w:r>
      <w:r>
        <w:rPr>
          <w:sz w:val="28"/>
          <w:szCs w:val="28"/>
        </w:rPr>
        <w:t xml:space="preserve">нового </w:t>
      </w:r>
      <w:r w:rsidRPr="00025926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 (</w:t>
      </w:r>
      <w:r w:rsidRPr="00025926"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12</w:t>
      </w:r>
      <w:r w:rsidRPr="00025926">
        <w:rPr>
          <w:sz w:val="28"/>
          <w:szCs w:val="28"/>
        </w:rPr>
        <w:t>.02.2013 №</w:t>
      </w:r>
      <w:r>
        <w:rPr>
          <w:sz w:val="28"/>
          <w:szCs w:val="28"/>
        </w:rPr>
        <w:t xml:space="preserve"> </w:t>
      </w:r>
      <w:r w:rsidRPr="00025926">
        <w:rPr>
          <w:sz w:val="28"/>
          <w:szCs w:val="28"/>
        </w:rPr>
        <w:t>1</w:t>
      </w:r>
      <w:r>
        <w:rPr>
          <w:sz w:val="28"/>
          <w:szCs w:val="28"/>
        </w:rPr>
        <w:t>06</w:t>
      </w:r>
      <w:r w:rsidRPr="00025926">
        <w:rPr>
          <w:sz w:val="28"/>
          <w:szCs w:val="28"/>
        </w:rPr>
        <w:t>-ПГ</w:t>
      </w:r>
      <w:r>
        <w:rPr>
          <w:sz w:val="28"/>
          <w:szCs w:val="28"/>
        </w:rPr>
        <w:t xml:space="preserve">, </w:t>
      </w:r>
      <w:r w:rsidRPr="00025926">
        <w:rPr>
          <w:sz w:val="28"/>
          <w:szCs w:val="28"/>
        </w:rPr>
        <w:t>Постановление от 25.03.2013 №</w:t>
      </w:r>
      <w:r>
        <w:rPr>
          <w:sz w:val="28"/>
          <w:szCs w:val="28"/>
        </w:rPr>
        <w:t xml:space="preserve"> </w:t>
      </w:r>
      <w:r w:rsidRPr="00025926">
        <w:rPr>
          <w:sz w:val="28"/>
          <w:szCs w:val="28"/>
        </w:rPr>
        <w:t>227-ПГ</w:t>
      </w:r>
      <w:r>
        <w:rPr>
          <w:sz w:val="28"/>
          <w:szCs w:val="28"/>
        </w:rPr>
        <w:t xml:space="preserve">, </w:t>
      </w:r>
      <w:r w:rsidRPr="00025926">
        <w:rPr>
          <w:sz w:val="28"/>
          <w:szCs w:val="28"/>
        </w:rPr>
        <w:t>Постановление от 30.10.2013 №</w:t>
      </w:r>
      <w:r>
        <w:rPr>
          <w:sz w:val="28"/>
          <w:szCs w:val="28"/>
        </w:rPr>
        <w:t xml:space="preserve"> </w:t>
      </w:r>
      <w:r w:rsidRPr="00025926">
        <w:rPr>
          <w:sz w:val="28"/>
          <w:szCs w:val="28"/>
        </w:rPr>
        <w:t>830-ПГ</w:t>
      </w:r>
      <w:r>
        <w:rPr>
          <w:sz w:val="28"/>
          <w:szCs w:val="28"/>
        </w:rPr>
        <w:t>)</w:t>
      </w:r>
      <w:r w:rsidRPr="00153E2D">
        <w:rPr>
          <w:color w:val="000000"/>
          <w:sz w:val="28"/>
          <w:szCs w:val="28"/>
        </w:rPr>
        <w:t>;</w:t>
      </w:r>
    </w:p>
    <w:p w:rsidR="00E11D16" w:rsidRDefault="00E11D16" w:rsidP="00153E2D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153E2D">
        <w:rPr>
          <w:color w:val="000000"/>
          <w:sz w:val="28"/>
          <w:szCs w:val="28"/>
        </w:rPr>
        <w:t>- раздел 0</w:t>
      </w:r>
      <w:r>
        <w:rPr>
          <w:color w:val="000000"/>
          <w:sz w:val="28"/>
          <w:szCs w:val="28"/>
        </w:rPr>
        <w:t>8</w:t>
      </w:r>
      <w:r w:rsidRPr="00153E2D">
        <w:rPr>
          <w:color w:val="000000"/>
          <w:sz w:val="28"/>
          <w:szCs w:val="28"/>
        </w:rPr>
        <w:t xml:space="preserve"> </w:t>
      </w:r>
      <w:r w:rsidRPr="00EF4FFC">
        <w:rPr>
          <w:sz w:val="28"/>
          <w:szCs w:val="28"/>
        </w:rPr>
        <w:t>«</w:t>
      </w:r>
      <w:r w:rsidRPr="00EF4FFC">
        <w:rPr>
          <w:bCs/>
          <w:sz w:val="28"/>
          <w:szCs w:val="28"/>
        </w:rPr>
        <w:t>Культура. Кинематография и средства массовой информации»</w:t>
      </w:r>
      <w:r w:rsidRPr="00153E2D">
        <w:rPr>
          <w:sz w:val="28"/>
          <w:szCs w:val="28"/>
        </w:rPr>
        <w:t xml:space="preserve"> в общей сумме </w:t>
      </w:r>
      <w:r>
        <w:rPr>
          <w:sz w:val="28"/>
          <w:szCs w:val="28"/>
        </w:rPr>
        <w:t>115,0</w:t>
      </w:r>
      <w:r w:rsidRPr="00153E2D">
        <w:rPr>
          <w:sz w:val="28"/>
          <w:szCs w:val="28"/>
        </w:rPr>
        <w:t xml:space="preserve"> тыс. руб. на </w:t>
      </w:r>
      <w:r w:rsidRPr="00025926">
        <w:rPr>
          <w:sz w:val="28"/>
          <w:szCs w:val="28"/>
        </w:rPr>
        <w:t>устранение последствий аварии МАУ «Культурный комплекс «Котельники»</w:t>
      </w:r>
      <w:r>
        <w:rPr>
          <w:sz w:val="28"/>
          <w:szCs w:val="28"/>
        </w:rPr>
        <w:t xml:space="preserve"> (</w:t>
      </w:r>
      <w:r w:rsidRPr="00025926">
        <w:rPr>
          <w:sz w:val="28"/>
          <w:szCs w:val="28"/>
        </w:rPr>
        <w:t>Постановление от 11.11.2013 №</w:t>
      </w:r>
      <w:r>
        <w:rPr>
          <w:sz w:val="28"/>
          <w:szCs w:val="28"/>
        </w:rPr>
        <w:t xml:space="preserve"> </w:t>
      </w:r>
      <w:r w:rsidRPr="00025926">
        <w:rPr>
          <w:sz w:val="28"/>
          <w:szCs w:val="28"/>
        </w:rPr>
        <w:t>863-ПГ</w:t>
      </w:r>
      <w:r>
        <w:rPr>
          <w:sz w:val="28"/>
          <w:szCs w:val="28"/>
        </w:rPr>
        <w:t>)</w:t>
      </w:r>
      <w:r w:rsidRPr="00153E2D">
        <w:rPr>
          <w:color w:val="000000"/>
          <w:sz w:val="28"/>
          <w:szCs w:val="28"/>
        </w:rPr>
        <w:t>;</w:t>
      </w:r>
    </w:p>
    <w:p w:rsidR="00E11D16" w:rsidRDefault="00E11D16" w:rsidP="00153E2D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153E2D">
        <w:rPr>
          <w:color w:val="000000"/>
          <w:sz w:val="28"/>
          <w:szCs w:val="28"/>
        </w:rPr>
        <w:t xml:space="preserve">- раздел </w:t>
      </w:r>
      <w:r>
        <w:rPr>
          <w:color w:val="000000"/>
          <w:sz w:val="28"/>
          <w:szCs w:val="28"/>
        </w:rPr>
        <w:t>10</w:t>
      </w:r>
      <w:r w:rsidRPr="00153E2D">
        <w:rPr>
          <w:color w:val="000000"/>
          <w:sz w:val="28"/>
          <w:szCs w:val="28"/>
        </w:rPr>
        <w:t xml:space="preserve"> </w:t>
      </w:r>
      <w:r w:rsidRPr="00EF4FFC">
        <w:rPr>
          <w:sz w:val="28"/>
          <w:szCs w:val="28"/>
        </w:rPr>
        <w:t>«</w:t>
      </w:r>
      <w:r>
        <w:rPr>
          <w:bCs/>
          <w:sz w:val="28"/>
          <w:szCs w:val="28"/>
        </w:rPr>
        <w:t>Социальная политика</w:t>
      </w:r>
      <w:r w:rsidRPr="00EF4FFC">
        <w:rPr>
          <w:bCs/>
          <w:sz w:val="28"/>
          <w:szCs w:val="28"/>
        </w:rPr>
        <w:t>»</w:t>
      </w:r>
      <w:r w:rsidRPr="00153E2D">
        <w:rPr>
          <w:sz w:val="28"/>
          <w:szCs w:val="28"/>
        </w:rPr>
        <w:t xml:space="preserve"> в общей сумме </w:t>
      </w:r>
      <w:r>
        <w:rPr>
          <w:sz w:val="28"/>
          <w:szCs w:val="28"/>
        </w:rPr>
        <w:t>1790,0</w:t>
      </w:r>
      <w:r w:rsidRPr="00153E2D">
        <w:rPr>
          <w:sz w:val="28"/>
          <w:szCs w:val="28"/>
        </w:rPr>
        <w:t xml:space="preserve"> тыс. руб. </w:t>
      </w:r>
      <w:r w:rsidR="005C76FD" w:rsidRPr="00025926">
        <w:rPr>
          <w:sz w:val="28"/>
          <w:szCs w:val="28"/>
        </w:rPr>
        <w:t>на оказание материальной помощи</w:t>
      </w:r>
      <w:r>
        <w:rPr>
          <w:sz w:val="28"/>
          <w:szCs w:val="28"/>
        </w:rPr>
        <w:t xml:space="preserve"> </w:t>
      </w:r>
      <w:r w:rsidR="005C76FD">
        <w:rPr>
          <w:sz w:val="28"/>
          <w:szCs w:val="28"/>
        </w:rPr>
        <w:t>населению и финансирование д</w:t>
      </w:r>
      <w:r w:rsidR="005C76FD" w:rsidRPr="00025926">
        <w:rPr>
          <w:sz w:val="28"/>
          <w:szCs w:val="28"/>
        </w:rPr>
        <w:t>олгосрочн</w:t>
      </w:r>
      <w:r w:rsidR="005C76FD">
        <w:rPr>
          <w:sz w:val="28"/>
          <w:szCs w:val="28"/>
        </w:rPr>
        <w:t>ой</w:t>
      </w:r>
      <w:r w:rsidR="005C76FD" w:rsidRPr="00025926">
        <w:rPr>
          <w:sz w:val="28"/>
          <w:szCs w:val="28"/>
        </w:rPr>
        <w:t xml:space="preserve"> целев</w:t>
      </w:r>
      <w:r w:rsidR="005C76FD">
        <w:rPr>
          <w:sz w:val="28"/>
          <w:szCs w:val="28"/>
        </w:rPr>
        <w:t>ой</w:t>
      </w:r>
      <w:r w:rsidR="005C76FD" w:rsidRPr="00025926">
        <w:rPr>
          <w:sz w:val="28"/>
          <w:szCs w:val="28"/>
        </w:rPr>
        <w:t xml:space="preserve"> программ</w:t>
      </w:r>
      <w:r w:rsidR="005C76FD">
        <w:rPr>
          <w:sz w:val="28"/>
          <w:szCs w:val="28"/>
        </w:rPr>
        <w:t>ы</w:t>
      </w:r>
      <w:r w:rsidR="005C76FD" w:rsidRPr="00025926">
        <w:rPr>
          <w:sz w:val="28"/>
          <w:szCs w:val="28"/>
        </w:rPr>
        <w:t xml:space="preserve"> «Обеспечение жильем молодых семей городского округа Котельники Московской области на 2013-2015 годы»</w:t>
      </w:r>
      <w:r w:rsidR="005C76F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C76FD" w:rsidRPr="00025926">
        <w:rPr>
          <w:sz w:val="28"/>
          <w:szCs w:val="28"/>
        </w:rPr>
        <w:t xml:space="preserve">Постановление от </w:t>
      </w:r>
      <w:r w:rsidR="005C76FD">
        <w:rPr>
          <w:sz w:val="28"/>
          <w:szCs w:val="28"/>
        </w:rPr>
        <w:t>26</w:t>
      </w:r>
      <w:r w:rsidR="005C76FD" w:rsidRPr="00025926">
        <w:rPr>
          <w:sz w:val="28"/>
          <w:szCs w:val="28"/>
        </w:rPr>
        <w:t>.</w:t>
      </w:r>
      <w:r w:rsidR="005C76FD">
        <w:rPr>
          <w:sz w:val="28"/>
          <w:szCs w:val="28"/>
        </w:rPr>
        <w:t>04</w:t>
      </w:r>
      <w:r w:rsidR="005C76FD" w:rsidRPr="00025926">
        <w:rPr>
          <w:sz w:val="28"/>
          <w:szCs w:val="28"/>
        </w:rPr>
        <w:t>.2013 №</w:t>
      </w:r>
      <w:r w:rsidR="005C76FD">
        <w:rPr>
          <w:sz w:val="28"/>
          <w:szCs w:val="28"/>
        </w:rPr>
        <w:t xml:space="preserve"> 345</w:t>
      </w:r>
      <w:r w:rsidR="005C76FD" w:rsidRPr="00025926">
        <w:rPr>
          <w:sz w:val="28"/>
          <w:szCs w:val="28"/>
        </w:rPr>
        <w:t>-ПГ</w:t>
      </w:r>
      <w:r w:rsidR="005C76FD">
        <w:rPr>
          <w:sz w:val="28"/>
          <w:szCs w:val="28"/>
        </w:rPr>
        <w:t xml:space="preserve">, </w:t>
      </w:r>
      <w:r w:rsidR="005C76FD" w:rsidRPr="00025926">
        <w:rPr>
          <w:sz w:val="28"/>
          <w:szCs w:val="28"/>
        </w:rPr>
        <w:t>Постановление от 30.10.2013 №</w:t>
      </w:r>
      <w:r w:rsidR="005C76FD">
        <w:rPr>
          <w:sz w:val="28"/>
          <w:szCs w:val="28"/>
        </w:rPr>
        <w:t xml:space="preserve"> </w:t>
      </w:r>
      <w:r w:rsidR="005C76FD" w:rsidRPr="00025926">
        <w:rPr>
          <w:sz w:val="28"/>
          <w:szCs w:val="28"/>
        </w:rPr>
        <w:t>829-ПГ</w:t>
      </w:r>
      <w:r w:rsidR="005C76FD">
        <w:rPr>
          <w:sz w:val="28"/>
          <w:szCs w:val="28"/>
        </w:rPr>
        <w:t xml:space="preserve">, </w:t>
      </w:r>
      <w:r w:rsidR="005C76FD" w:rsidRPr="00025926">
        <w:rPr>
          <w:sz w:val="28"/>
          <w:szCs w:val="28"/>
        </w:rPr>
        <w:t>Постановление от 31.10.2013 №</w:t>
      </w:r>
      <w:r w:rsidR="005C76FD">
        <w:rPr>
          <w:sz w:val="28"/>
          <w:szCs w:val="28"/>
        </w:rPr>
        <w:t xml:space="preserve"> </w:t>
      </w:r>
      <w:r w:rsidR="005C76FD" w:rsidRPr="00025926">
        <w:rPr>
          <w:sz w:val="28"/>
          <w:szCs w:val="28"/>
        </w:rPr>
        <w:t>837</w:t>
      </w:r>
      <w:r w:rsidR="005C76FD">
        <w:rPr>
          <w:sz w:val="28"/>
          <w:szCs w:val="28"/>
        </w:rPr>
        <w:t xml:space="preserve">-ПГ, </w:t>
      </w:r>
      <w:r w:rsidR="005C76FD" w:rsidRPr="00025926">
        <w:rPr>
          <w:sz w:val="28"/>
          <w:szCs w:val="28"/>
        </w:rPr>
        <w:t>Постановление от 31.10.2013 №</w:t>
      </w:r>
      <w:r w:rsidR="005C76FD">
        <w:rPr>
          <w:sz w:val="28"/>
          <w:szCs w:val="28"/>
        </w:rPr>
        <w:t xml:space="preserve"> </w:t>
      </w:r>
      <w:r w:rsidR="005C76FD" w:rsidRPr="00025926">
        <w:rPr>
          <w:sz w:val="28"/>
          <w:szCs w:val="28"/>
        </w:rPr>
        <w:t>836</w:t>
      </w:r>
      <w:r w:rsidR="005C76FD">
        <w:rPr>
          <w:sz w:val="28"/>
          <w:szCs w:val="28"/>
        </w:rPr>
        <w:t xml:space="preserve">-ПГ, </w:t>
      </w:r>
      <w:r w:rsidR="005C76FD" w:rsidRPr="00025926">
        <w:rPr>
          <w:sz w:val="28"/>
          <w:szCs w:val="28"/>
        </w:rPr>
        <w:t>Постановление от 03.12.2013 №</w:t>
      </w:r>
      <w:r w:rsidR="005C76FD">
        <w:rPr>
          <w:sz w:val="28"/>
          <w:szCs w:val="28"/>
        </w:rPr>
        <w:t xml:space="preserve"> </w:t>
      </w:r>
      <w:r w:rsidR="005C76FD" w:rsidRPr="00025926">
        <w:rPr>
          <w:sz w:val="28"/>
          <w:szCs w:val="28"/>
        </w:rPr>
        <w:t>963-ПГ</w:t>
      </w:r>
      <w:r>
        <w:rPr>
          <w:sz w:val="28"/>
          <w:szCs w:val="28"/>
        </w:rPr>
        <w:t>)</w:t>
      </w:r>
      <w:r w:rsidR="005C76FD">
        <w:rPr>
          <w:sz w:val="28"/>
          <w:szCs w:val="28"/>
        </w:rPr>
        <w:t>.</w:t>
      </w:r>
      <w:proofErr w:type="gramEnd"/>
    </w:p>
    <w:p w:rsidR="00EE2C86" w:rsidRPr="00EF4FFC" w:rsidRDefault="00EE2C86" w:rsidP="00F93D7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F4FFC" w:rsidRPr="00280068" w:rsidRDefault="006970B1" w:rsidP="00EF4FF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80068">
        <w:rPr>
          <w:b/>
          <w:bCs/>
          <w:color w:val="000000"/>
          <w:sz w:val="28"/>
          <w:szCs w:val="28"/>
        </w:rPr>
        <w:t>5</w:t>
      </w:r>
      <w:r w:rsidR="00EF4FFC" w:rsidRPr="00280068">
        <w:rPr>
          <w:b/>
          <w:bCs/>
          <w:color w:val="000000"/>
          <w:sz w:val="28"/>
          <w:szCs w:val="28"/>
        </w:rPr>
        <w:t>. Анализ дебиторской и кредиторской задолженности.</w:t>
      </w:r>
    </w:p>
    <w:p w:rsidR="00EF4FFC" w:rsidRPr="00280068" w:rsidRDefault="00EF4FFC" w:rsidP="00EF4FFC">
      <w:pPr>
        <w:ind w:firstLine="540"/>
        <w:jc w:val="both"/>
        <w:rPr>
          <w:sz w:val="28"/>
          <w:szCs w:val="28"/>
        </w:rPr>
      </w:pPr>
      <w:r w:rsidRPr="00280068">
        <w:rPr>
          <w:sz w:val="28"/>
          <w:szCs w:val="28"/>
        </w:rPr>
        <w:t>По состоянию на 01.01.201</w:t>
      </w:r>
      <w:r w:rsidR="006A11DC" w:rsidRPr="00280068">
        <w:rPr>
          <w:sz w:val="28"/>
          <w:szCs w:val="28"/>
        </w:rPr>
        <w:t>3</w:t>
      </w:r>
      <w:r w:rsidRPr="00280068">
        <w:rPr>
          <w:sz w:val="28"/>
          <w:szCs w:val="28"/>
        </w:rPr>
        <w:t xml:space="preserve"> года дебиторская задолженность городского округа Котельники составляла </w:t>
      </w:r>
      <w:r w:rsidR="006A11DC" w:rsidRPr="00280068">
        <w:rPr>
          <w:bCs/>
          <w:sz w:val="28"/>
          <w:szCs w:val="28"/>
        </w:rPr>
        <w:t>9185</w:t>
      </w:r>
      <w:r w:rsidRPr="00280068">
        <w:rPr>
          <w:bCs/>
          <w:sz w:val="28"/>
          <w:szCs w:val="28"/>
        </w:rPr>
        <w:t>,</w:t>
      </w:r>
      <w:r w:rsidR="006A11DC" w:rsidRPr="00280068">
        <w:rPr>
          <w:bCs/>
          <w:sz w:val="28"/>
          <w:szCs w:val="28"/>
        </w:rPr>
        <w:t>4</w:t>
      </w:r>
      <w:r w:rsidRPr="00280068">
        <w:rPr>
          <w:bCs/>
          <w:sz w:val="28"/>
          <w:szCs w:val="28"/>
        </w:rPr>
        <w:t xml:space="preserve"> </w:t>
      </w:r>
      <w:r w:rsidRPr="00280068">
        <w:rPr>
          <w:sz w:val="28"/>
          <w:szCs w:val="28"/>
        </w:rPr>
        <w:t xml:space="preserve">тыс. руб. или </w:t>
      </w:r>
      <w:r w:rsidR="006A11DC" w:rsidRPr="00280068">
        <w:rPr>
          <w:sz w:val="28"/>
          <w:szCs w:val="28"/>
        </w:rPr>
        <w:t>1,0</w:t>
      </w:r>
      <w:r w:rsidRPr="00280068">
        <w:rPr>
          <w:sz w:val="28"/>
          <w:szCs w:val="28"/>
        </w:rPr>
        <w:t xml:space="preserve"> % от кассовых расходов за 201</w:t>
      </w:r>
      <w:r w:rsidR="006A11DC" w:rsidRPr="00280068">
        <w:rPr>
          <w:sz w:val="28"/>
          <w:szCs w:val="28"/>
        </w:rPr>
        <w:t>3</w:t>
      </w:r>
      <w:r w:rsidRPr="00280068">
        <w:rPr>
          <w:sz w:val="28"/>
          <w:szCs w:val="28"/>
        </w:rPr>
        <w:t xml:space="preserve"> год.</w:t>
      </w:r>
    </w:p>
    <w:p w:rsidR="00EF4FFC" w:rsidRPr="00280068" w:rsidRDefault="00EF4FFC" w:rsidP="00EF4FFC">
      <w:pPr>
        <w:ind w:firstLine="540"/>
        <w:jc w:val="both"/>
        <w:rPr>
          <w:sz w:val="28"/>
          <w:szCs w:val="28"/>
        </w:rPr>
      </w:pPr>
      <w:r w:rsidRPr="00280068">
        <w:rPr>
          <w:sz w:val="28"/>
          <w:szCs w:val="28"/>
        </w:rPr>
        <w:t>По состоянию на 01.01.201</w:t>
      </w:r>
      <w:r w:rsidR="006A11DC" w:rsidRPr="00280068">
        <w:rPr>
          <w:sz w:val="28"/>
          <w:szCs w:val="28"/>
        </w:rPr>
        <w:t>4</w:t>
      </w:r>
      <w:r w:rsidRPr="00280068">
        <w:rPr>
          <w:sz w:val="28"/>
          <w:szCs w:val="28"/>
        </w:rPr>
        <w:t xml:space="preserve"> года дебиторская задолженность городского округа Котельники составила </w:t>
      </w:r>
      <w:r w:rsidR="006A11DC" w:rsidRPr="00280068">
        <w:rPr>
          <w:sz w:val="28"/>
          <w:szCs w:val="28"/>
        </w:rPr>
        <w:t>-2757,2</w:t>
      </w:r>
      <w:r w:rsidRPr="00280068">
        <w:rPr>
          <w:sz w:val="28"/>
          <w:szCs w:val="28"/>
        </w:rPr>
        <w:t xml:space="preserve"> тыс. руб. или 0,3 % от кассовых расходов 201</w:t>
      </w:r>
      <w:r w:rsidR="006A11DC" w:rsidRPr="00280068">
        <w:rPr>
          <w:sz w:val="28"/>
          <w:szCs w:val="28"/>
        </w:rPr>
        <w:t>3</w:t>
      </w:r>
      <w:r w:rsidRPr="00280068">
        <w:rPr>
          <w:sz w:val="28"/>
          <w:szCs w:val="28"/>
        </w:rPr>
        <w:t xml:space="preserve"> года, из них основную долю составляют:</w:t>
      </w:r>
    </w:p>
    <w:p w:rsidR="00481F4F" w:rsidRPr="00481F4F" w:rsidRDefault="006A11DC" w:rsidP="006A11DC">
      <w:pPr>
        <w:numPr>
          <w:ilvl w:val="0"/>
          <w:numId w:val="6"/>
        </w:numPr>
        <w:tabs>
          <w:tab w:val="clear" w:pos="780"/>
          <w:tab w:val="num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1F4F">
        <w:rPr>
          <w:sz w:val="28"/>
          <w:szCs w:val="28"/>
        </w:rPr>
        <w:t>9734,2</w:t>
      </w:r>
      <w:r w:rsidR="00EF4FFC" w:rsidRPr="006A11DC">
        <w:rPr>
          <w:sz w:val="28"/>
          <w:szCs w:val="28"/>
        </w:rPr>
        <w:t xml:space="preserve"> тыс. руб</w:t>
      </w:r>
      <w:r w:rsidR="00EF4FFC" w:rsidRPr="00481F4F">
        <w:rPr>
          <w:sz w:val="28"/>
          <w:szCs w:val="28"/>
        </w:rPr>
        <w:t xml:space="preserve">. </w:t>
      </w:r>
      <w:r w:rsidRPr="00481F4F">
        <w:rPr>
          <w:sz w:val="28"/>
          <w:szCs w:val="28"/>
        </w:rPr>
        <w:t xml:space="preserve">- </w:t>
      </w:r>
      <w:r w:rsidR="00EF4FFC" w:rsidRPr="00481F4F">
        <w:rPr>
          <w:sz w:val="28"/>
          <w:szCs w:val="28"/>
        </w:rPr>
        <w:t xml:space="preserve">сумма </w:t>
      </w:r>
      <w:r w:rsidR="00481F4F" w:rsidRPr="00481F4F">
        <w:rPr>
          <w:sz w:val="28"/>
          <w:szCs w:val="28"/>
        </w:rPr>
        <w:t>незавершенного строительства объектов городской инфраструктуры</w:t>
      </w:r>
      <w:r w:rsidR="00481F4F">
        <w:rPr>
          <w:sz w:val="28"/>
          <w:szCs w:val="28"/>
        </w:rPr>
        <w:t xml:space="preserve"> в сфере ЖКХ;</w:t>
      </w:r>
      <w:r w:rsidR="00481F4F" w:rsidRPr="00481F4F">
        <w:rPr>
          <w:sz w:val="28"/>
          <w:szCs w:val="28"/>
        </w:rPr>
        <w:t xml:space="preserve"> </w:t>
      </w:r>
    </w:p>
    <w:p w:rsidR="00EF4FFC" w:rsidRDefault="00481F4F" w:rsidP="006A11DC">
      <w:pPr>
        <w:numPr>
          <w:ilvl w:val="0"/>
          <w:numId w:val="6"/>
        </w:numPr>
        <w:tabs>
          <w:tab w:val="clear" w:pos="780"/>
          <w:tab w:val="num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481F4F">
        <w:rPr>
          <w:sz w:val="28"/>
          <w:szCs w:val="28"/>
        </w:rPr>
        <w:t xml:space="preserve">1197,9 тыс. руб. – сумма </w:t>
      </w:r>
      <w:r w:rsidR="00EF4FFC" w:rsidRPr="00481F4F">
        <w:rPr>
          <w:sz w:val="28"/>
          <w:szCs w:val="28"/>
        </w:rPr>
        <w:t xml:space="preserve">произведенных авансовых платежей </w:t>
      </w:r>
      <w:r w:rsidRPr="00481F4F">
        <w:rPr>
          <w:sz w:val="28"/>
          <w:szCs w:val="28"/>
        </w:rPr>
        <w:t>за проведение государственной экспертизы и за подписку на периодические печатные издания</w:t>
      </w:r>
      <w:r w:rsidR="00EF4FFC" w:rsidRPr="00481F4F">
        <w:rPr>
          <w:sz w:val="28"/>
          <w:szCs w:val="28"/>
        </w:rPr>
        <w:t xml:space="preserve">; </w:t>
      </w:r>
    </w:p>
    <w:p w:rsidR="00481F4F" w:rsidRDefault="00481F4F" w:rsidP="006A11DC">
      <w:pPr>
        <w:numPr>
          <w:ilvl w:val="0"/>
          <w:numId w:val="6"/>
        </w:numPr>
        <w:tabs>
          <w:tab w:val="clear" w:pos="780"/>
          <w:tab w:val="num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422,4 тыс. руб. - </w:t>
      </w:r>
      <w:r w:rsidRPr="00481F4F">
        <w:rPr>
          <w:sz w:val="28"/>
          <w:szCs w:val="28"/>
        </w:rPr>
        <w:t>сумма произведенных авансовых платежей</w:t>
      </w:r>
      <w:r>
        <w:rPr>
          <w:sz w:val="28"/>
          <w:szCs w:val="28"/>
        </w:rPr>
        <w:t xml:space="preserve"> за ремонт городских памятников;</w:t>
      </w:r>
    </w:p>
    <w:p w:rsidR="00481F4F" w:rsidRPr="00481F4F" w:rsidRDefault="00481F4F" w:rsidP="006A11DC">
      <w:pPr>
        <w:numPr>
          <w:ilvl w:val="0"/>
          <w:numId w:val="6"/>
        </w:numPr>
        <w:tabs>
          <w:tab w:val="clear" w:pos="780"/>
          <w:tab w:val="num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49,9 тыс. руб. - </w:t>
      </w:r>
      <w:r w:rsidRPr="00481F4F">
        <w:rPr>
          <w:sz w:val="28"/>
          <w:szCs w:val="28"/>
        </w:rPr>
        <w:t>сумма произведенных авансовых платежей</w:t>
      </w:r>
      <w:r>
        <w:rPr>
          <w:sz w:val="28"/>
          <w:szCs w:val="28"/>
        </w:rPr>
        <w:t xml:space="preserve"> за услуги связи;</w:t>
      </w:r>
    </w:p>
    <w:p w:rsidR="00EF4FFC" w:rsidRPr="006A11DC" w:rsidRDefault="00EF4FFC" w:rsidP="006A11DC">
      <w:pPr>
        <w:numPr>
          <w:ilvl w:val="0"/>
          <w:numId w:val="6"/>
        </w:numPr>
        <w:tabs>
          <w:tab w:val="clear" w:pos="780"/>
          <w:tab w:val="num" w:pos="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6A11DC">
        <w:rPr>
          <w:sz w:val="28"/>
          <w:szCs w:val="28"/>
        </w:rPr>
        <w:t xml:space="preserve"> -</w:t>
      </w:r>
      <w:r w:rsidR="006A11DC" w:rsidRPr="006A11DC">
        <w:rPr>
          <w:sz w:val="28"/>
          <w:szCs w:val="28"/>
        </w:rPr>
        <w:t>14161</w:t>
      </w:r>
      <w:r w:rsidRPr="006A11DC">
        <w:rPr>
          <w:sz w:val="28"/>
          <w:szCs w:val="28"/>
        </w:rPr>
        <w:t xml:space="preserve">,7 тыс. руб. </w:t>
      </w:r>
      <w:r w:rsidR="006A11DC">
        <w:rPr>
          <w:sz w:val="28"/>
          <w:szCs w:val="28"/>
        </w:rPr>
        <w:t>-</w:t>
      </w:r>
      <w:r w:rsidRPr="006A11DC">
        <w:rPr>
          <w:sz w:val="28"/>
          <w:szCs w:val="28"/>
        </w:rPr>
        <w:t xml:space="preserve"> </w:t>
      </w:r>
      <w:r w:rsidRPr="00481F4F">
        <w:rPr>
          <w:sz w:val="28"/>
          <w:szCs w:val="28"/>
        </w:rPr>
        <w:t>сумма субсидий (субвенций) поступивших в виде безвозмездных перечислений от других бюджетов бюджетной системы Российской Федерации, подлежащих возврату и (или) использованию в следующем отчетном году.</w:t>
      </w:r>
    </w:p>
    <w:p w:rsidR="00EF4FFC" w:rsidRDefault="00EF4FFC" w:rsidP="00EF4FFC">
      <w:pPr>
        <w:ind w:firstLine="540"/>
        <w:jc w:val="both"/>
        <w:rPr>
          <w:sz w:val="28"/>
          <w:szCs w:val="28"/>
        </w:rPr>
      </w:pPr>
      <w:r w:rsidRPr="006A11DC">
        <w:rPr>
          <w:sz w:val="28"/>
          <w:szCs w:val="28"/>
        </w:rPr>
        <w:t xml:space="preserve">К уровню </w:t>
      </w:r>
      <w:r w:rsidR="006A11DC" w:rsidRPr="006A11DC">
        <w:rPr>
          <w:sz w:val="28"/>
          <w:szCs w:val="28"/>
        </w:rPr>
        <w:t>начала</w:t>
      </w:r>
      <w:r w:rsidRPr="006A11DC">
        <w:rPr>
          <w:sz w:val="28"/>
          <w:szCs w:val="28"/>
        </w:rPr>
        <w:t xml:space="preserve"> года дебиторская задолженность уменьшилась на </w:t>
      </w:r>
      <w:r w:rsidR="006A11DC" w:rsidRPr="006A11DC">
        <w:rPr>
          <w:sz w:val="28"/>
          <w:szCs w:val="28"/>
        </w:rPr>
        <w:t>11942,6</w:t>
      </w:r>
      <w:r w:rsidRPr="006A11DC">
        <w:rPr>
          <w:sz w:val="28"/>
          <w:szCs w:val="28"/>
        </w:rPr>
        <w:t xml:space="preserve"> тыс. руб</w:t>
      </w:r>
      <w:r w:rsidR="006A11DC" w:rsidRPr="006A11DC">
        <w:rPr>
          <w:sz w:val="28"/>
          <w:szCs w:val="28"/>
        </w:rPr>
        <w:t>.</w:t>
      </w:r>
      <w:r w:rsidRPr="006A11DC">
        <w:rPr>
          <w:sz w:val="28"/>
          <w:szCs w:val="28"/>
        </w:rPr>
        <w:t xml:space="preserve">, что отражает положительную динамику. </w:t>
      </w:r>
    </w:p>
    <w:p w:rsidR="00280068" w:rsidRPr="00280068" w:rsidRDefault="00280068" w:rsidP="001638D4">
      <w:pPr>
        <w:ind w:firstLine="540"/>
        <w:jc w:val="both"/>
        <w:rPr>
          <w:sz w:val="28"/>
          <w:szCs w:val="28"/>
        </w:rPr>
      </w:pPr>
      <w:r w:rsidRPr="00280068">
        <w:rPr>
          <w:sz w:val="28"/>
          <w:szCs w:val="28"/>
        </w:rPr>
        <w:t xml:space="preserve">Сумма кредиторской задолженности по состоянию на 01.01.2014 </w:t>
      </w:r>
      <w:r w:rsidR="00074EDF">
        <w:rPr>
          <w:sz w:val="28"/>
          <w:szCs w:val="28"/>
        </w:rPr>
        <w:t>года составила -176,6 тыс. руб.</w:t>
      </w:r>
      <w:r w:rsidRPr="00280068">
        <w:rPr>
          <w:sz w:val="28"/>
          <w:szCs w:val="28"/>
        </w:rPr>
        <w:t xml:space="preserve"> </w:t>
      </w:r>
      <w:r w:rsidR="000543C4">
        <w:rPr>
          <w:sz w:val="28"/>
          <w:szCs w:val="28"/>
        </w:rPr>
        <w:t xml:space="preserve">Относительно 01.01.2013  кредиторская задолженность </w:t>
      </w:r>
      <w:r w:rsidR="000543C4" w:rsidRPr="00280068">
        <w:rPr>
          <w:sz w:val="28"/>
          <w:szCs w:val="28"/>
        </w:rPr>
        <w:t>(-38,6 тыс. руб.)</w:t>
      </w:r>
      <w:r w:rsidR="000543C4">
        <w:rPr>
          <w:sz w:val="28"/>
          <w:szCs w:val="28"/>
        </w:rPr>
        <w:t xml:space="preserve"> увеличилась </w:t>
      </w:r>
      <w:r w:rsidRPr="00280068">
        <w:rPr>
          <w:sz w:val="28"/>
          <w:szCs w:val="28"/>
        </w:rPr>
        <w:t xml:space="preserve"> на 138,0 тыс. рублей. </w:t>
      </w:r>
      <w:r w:rsidR="001638D4">
        <w:rPr>
          <w:sz w:val="28"/>
          <w:szCs w:val="28"/>
        </w:rPr>
        <w:t>Основными показателями образования кредиторской задолженности являются</w:t>
      </w:r>
      <w:r w:rsidRPr="00280068">
        <w:rPr>
          <w:sz w:val="28"/>
          <w:szCs w:val="28"/>
        </w:rPr>
        <w:t>:</w:t>
      </w:r>
    </w:p>
    <w:p w:rsidR="001638D4" w:rsidRPr="001638D4" w:rsidRDefault="001638D4" w:rsidP="001638D4">
      <w:pPr>
        <w:pStyle w:val="afd"/>
        <w:numPr>
          <w:ilvl w:val="0"/>
          <w:numId w:val="6"/>
        </w:numPr>
        <w:tabs>
          <w:tab w:val="clear" w:pos="780"/>
          <w:tab w:val="num" w:pos="709"/>
        </w:tabs>
        <w:spacing w:after="0" w:line="240" w:lineRule="auto"/>
        <w:ind w:left="0"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638D4">
        <w:rPr>
          <w:rFonts w:ascii="Times New Roman" w:hAnsi="Times New Roman"/>
          <w:sz w:val="28"/>
          <w:szCs w:val="28"/>
        </w:rPr>
        <w:t xml:space="preserve">задолженность Фонда социального страхования по расчетам страховых взносов на обязательное социальное страхование  на случай временной не трудоспособности и в связи с материнством в сумме </w:t>
      </w:r>
      <w:r w:rsidR="000543C4">
        <w:rPr>
          <w:rFonts w:ascii="Times New Roman" w:hAnsi="Times New Roman"/>
          <w:sz w:val="28"/>
          <w:szCs w:val="28"/>
        </w:rPr>
        <w:t>-</w:t>
      </w:r>
      <w:r w:rsidRPr="001638D4">
        <w:rPr>
          <w:rFonts w:ascii="Times New Roman" w:hAnsi="Times New Roman"/>
          <w:sz w:val="28"/>
          <w:szCs w:val="28"/>
        </w:rPr>
        <w:t>169,8 тыс. руб.</w:t>
      </w:r>
      <w:r w:rsidR="000543C4">
        <w:rPr>
          <w:rFonts w:ascii="Times New Roman" w:hAnsi="Times New Roman"/>
          <w:sz w:val="28"/>
          <w:szCs w:val="28"/>
        </w:rPr>
        <w:t xml:space="preserve"> (по состоянию на 01.01.2013 сумма составляла -69,5 тыс. руб.)</w:t>
      </w:r>
      <w:r w:rsidRPr="001638D4">
        <w:rPr>
          <w:rFonts w:ascii="Times New Roman" w:hAnsi="Times New Roman"/>
          <w:sz w:val="28"/>
          <w:szCs w:val="28"/>
        </w:rPr>
        <w:t>;</w:t>
      </w:r>
    </w:p>
    <w:p w:rsidR="00280068" w:rsidRPr="001638D4" w:rsidRDefault="001638D4" w:rsidP="001638D4">
      <w:pPr>
        <w:pStyle w:val="afd"/>
        <w:numPr>
          <w:ilvl w:val="0"/>
          <w:numId w:val="6"/>
        </w:numPr>
        <w:tabs>
          <w:tab w:val="clear" w:pos="780"/>
          <w:tab w:val="num" w:pos="709"/>
        </w:tabs>
        <w:spacing w:after="0" w:line="240" w:lineRule="auto"/>
        <w:ind w:left="0"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280068" w:rsidRPr="001638D4">
        <w:rPr>
          <w:rFonts w:ascii="Times New Roman" w:hAnsi="Times New Roman"/>
          <w:sz w:val="28"/>
          <w:szCs w:val="28"/>
        </w:rPr>
        <w:t>ереплат</w:t>
      </w:r>
      <w:r w:rsidRPr="001638D4">
        <w:rPr>
          <w:rFonts w:ascii="Times New Roman" w:hAnsi="Times New Roman"/>
          <w:sz w:val="28"/>
          <w:szCs w:val="28"/>
        </w:rPr>
        <w:t>а</w:t>
      </w:r>
      <w:r w:rsidR="00280068" w:rsidRPr="001638D4">
        <w:rPr>
          <w:rFonts w:ascii="Times New Roman" w:hAnsi="Times New Roman"/>
          <w:sz w:val="28"/>
          <w:szCs w:val="28"/>
        </w:rPr>
        <w:t xml:space="preserve"> налогов и сборов</w:t>
      </w:r>
      <w:r w:rsidRPr="001638D4">
        <w:rPr>
          <w:rFonts w:ascii="Times New Roman" w:hAnsi="Times New Roman"/>
          <w:sz w:val="28"/>
          <w:szCs w:val="28"/>
        </w:rPr>
        <w:t xml:space="preserve"> в сумме </w:t>
      </w:r>
      <w:r w:rsidR="000543C4">
        <w:rPr>
          <w:rFonts w:ascii="Times New Roman" w:hAnsi="Times New Roman"/>
          <w:sz w:val="28"/>
          <w:szCs w:val="28"/>
        </w:rPr>
        <w:t>-</w:t>
      </w:r>
      <w:r w:rsidRPr="001638D4">
        <w:rPr>
          <w:rFonts w:ascii="Times New Roman" w:hAnsi="Times New Roman"/>
          <w:sz w:val="28"/>
          <w:szCs w:val="28"/>
        </w:rPr>
        <w:t>49,3 тыс. руб.;</w:t>
      </w:r>
    </w:p>
    <w:p w:rsidR="00481F4F" w:rsidRDefault="001638D4" w:rsidP="001638D4">
      <w:pPr>
        <w:pStyle w:val="afd"/>
        <w:numPr>
          <w:ilvl w:val="0"/>
          <w:numId w:val="6"/>
        </w:numPr>
        <w:tabs>
          <w:tab w:val="clear" w:pos="780"/>
          <w:tab w:val="num" w:pos="709"/>
        </w:tabs>
        <w:spacing w:after="0" w:line="240" w:lineRule="auto"/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1638D4">
        <w:rPr>
          <w:rFonts w:ascii="Times New Roman" w:hAnsi="Times New Roman"/>
          <w:sz w:val="28"/>
          <w:szCs w:val="28"/>
        </w:rPr>
        <w:t>долговые обязательства по услуга</w:t>
      </w:r>
      <w:r w:rsidR="00481F4F">
        <w:rPr>
          <w:rFonts w:ascii="Times New Roman" w:hAnsi="Times New Roman"/>
          <w:sz w:val="28"/>
          <w:szCs w:val="28"/>
        </w:rPr>
        <w:t>м связи в сумме 21,4 тыс. руб.;</w:t>
      </w:r>
    </w:p>
    <w:p w:rsidR="00EF4FFC" w:rsidRPr="001638D4" w:rsidRDefault="00481F4F" w:rsidP="001638D4">
      <w:pPr>
        <w:pStyle w:val="afd"/>
        <w:numPr>
          <w:ilvl w:val="0"/>
          <w:numId w:val="6"/>
        </w:numPr>
        <w:tabs>
          <w:tab w:val="clear" w:pos="780"/>
          <w:tab w:val="num" w:pos="709"/>
        </w:tabs>
        <w:spacing w:after="0" w:line="240" w:lineRule="auto"/>
        <w:ind w:left="0"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возмещение родительской платы за содержание детей в дошкольных образовательных учреждениях </w:t>
      </w:r>
      <w:r w:rsidR="001638D4" w:rsidRPr="001638D4">
        <w:rPr>
          <w:rFonts w:ascii="Times New Roman" w:hAnsi="Times New Roman"/>
          <w:sz w:val="28"/>
          <w:szCs w:val="28"/>
        </w:rPr>
        <w:t>в сумме 20,7 тыс. руб.</w:t>
      </w:r>
    </w:p>
    <w:p w:rsidR="00481F4F" w:rsidRDefault="00481F4F" w:rsidP="00EF4F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F4FFC" w:rsidRPr="00EF4FFC" w:rsidRDefault="006970B1" w:rsidP="00EF4F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EF4FFC" w:rsidRPr="00EF4FFC">
        <w:rPr>
          <w:b/>
          <w:bCs/>
          <w:color w:val="000000"/>
          <w:sz w:val="28"/>
          <w:szCs w:val="28"/>
        </w:rPr>
        <w:t xml:space="preserve">. Оценка сбалансированности бюджета </w:t>
      </w:r>
    </w:p>
    <w:p w:rsidR="00EF4FFC" w:rsidRPr="00EF4FFC" w:rsidRDefault="00EF4FFC" w:rsidP="00EF4FF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F4FFC">
        <w:rPr>
          <w:b/>
          <w:bCs/>
          <w:color w:val="000000"/>
          <w:sz w:val="28"/>
          <w:szCs w:val="28"/>
        </w:rPr>
        <w:t>городского округа Котельники Московской области</w:t>
      </w:r>
    </w:p>
    <w:p w:rsidR="00DD0254" w:rsidRDefault="00EF4FFC" w:rsidP="00DD0254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F4FFC">
        <w:rPr>
          <w:color w:val="000000"/>
          <w:sz w:val="28"/>
          <w:szCs w:val="28"/>
        </w:rPr>
        <w:t xml:space="preserve"> Утвержденным бюджетом городского округа Котельники Московской области на 201</w:t>
      </w:r>
      <w:r w:rsidR="00DD0254">
        <w:rPr>
          <w:color w:val="000000"/>
          <w:sz w:val="28"/>
          <w:szCs w:val="28"/>
        </w:rPr>
        <w:t>3</w:t>
      </w:r>
      <w:r w:rsidRPr="00EF4FFC">
        <w:rPr>
          <w:color w:val="000000"/>
          <w:sz w:val="28"/>
          <w:szCs w:val="28"/>
        </w:rPr>
        <w:t xml:space="preserve"> предусмотрено исполнение </w:t>
      </w:r>
      <w:r w:rsidRPr="00EF4FFC">
        <w:rPr>
          <w:bCs/>
          <w:color w:val="000000"/>
          <w:sz w:val="28"/>
          <w:szCs w:val="28"/>
        </w:rPr>
        <w:t xml:space="preserve">с дефицитом в сумме </w:t>
      </w:r>
      <w:r w:rsidR="00DD0254">
        <w:rPr>
          <w:sz w:val="28"/>
          <w:szCs w:val="28"/>
        </w:rPr>
        <w:t>93563</w:t>
      </w:r>
      <w:r w:rsidRPr="00EF4FFC">
        <w:rPr>
          <w:sz w:val="28"/>
          <w:szCs w:val="28"/>
        </w:rPr>
        <w:t>,</w:t>
      </w:r>
      <w:r w:rsidR="00DD0254">
        <w:rPr>
          <w:sz w:val="28"/>
          <w:szCs w:val="28"/>
        </w:rPr>
        <w:t>0</w:t>
      </w:r>
      <w:r w:rsidRPr="00EF4FFC">
        <w:rPr>
          <w:bCs/>
          <w:color w:val="000000"/>
          <w:sz w:val="28"/>
          <w:szCs w:val="28"/>
        </w:rPr>
        <w:t xml:space="preserve"> тыс. рублей. Относительно 201</w:t>
      </w:r>
      <w:r w:rsidR="00DD0254">
        <w:rPr>
          <w:bCs/>
          <w:color w:val="000000"/>
          <w:sz w:val="28"/>
          <w:szCs w:val="28"/>
        </w:rPr>
        <w:t>2</w:t>
      </w:r>
      <w:r w:rsidRPr="00EF4FFC">
        <w:rPr>
          <w:bCs/>
          <w:color w:val="000000"/>
          <w:sz w:val="28"/>
          <w:szCs w:val="28"/>
        </w:rPr>
        <w:t xml:space="preserve"> года сумма дефицита (</w:t>
      </w:r>
      <w:r w:rsidR="00DD0254">
        <w:rPr>
          <w:bCs/>
          <w:color w:val="000000"/>
          <w:sz w:val="28"/>
          <w:szCs w:val="28"/>
        </w:rPr>
        <w:t>20248</w:t>
      </w:r>
      <w:r w:rsidRPr="00EF4FFC">
        <w:rPr>
          <w:bCs/>
          <w:color w:val="000000"/>
          <w:sz w:val="28"/>
          <w:szCs w:val="28"/>
        </w:rPr>
        <w:t>,</w:t>
      </w:r>
      <w:r w:rsidR="00DD0254">
        <w:rPr>
          <w:bCs/>
          <w:color w:val="000000"/>
          <w:sz w:val="28"/>
          <w:szCs w:val="28"/>
        </w:rPr>
        <w:t>8</w:t>
      </w:r>
      <w:r w:rsidRPr="00EF4FFC">
        <w:rPr>
          <w:bCs/>
          <w:color w:val="000000"/>
          <w:sz w:val="28"/>
          <w:szCs w:val="28"/>
        </w:rPr>
        <w:t xml:space="preserve"> тыс. рублей) запланирована </w:t>
      </w:r>
      <w:r w:rsidR="00DD0254">
        <w:rPr>
          <w:bCs/>
          <w:color w:val="000000"/>
          <w:sz w:val="28"/>
          <w:szCs w:val="28"/>
        </w:rPr>
        <w:t xml:space="preserve">с увеличением </w:t>
      </w:r>
      <w:r w:rsidRPr="00EF4FFC">
        <w:rPr>
          <w:bCs/>
          <w:color w:val="000000"/>
          <w:sz w:val="28"/>
          <w:szCs w:val="28"/>
        </w:rPr>
        <w:t xml:space="preserve">на </w:t>
      </w:r>
      <w:r w:rsidR="00DD0254">
        <w:rPr>
          <w:bCs/>
          <w:color w:val="000000"/>
          <w:sz w:val="28"/>
          <w:szCs w:val="28"/>
        </w:rPr>
        <w:t>73314</w:t>
      </w:r>
      <w:r w:rsidRPr="00EF4FFC">
        <w:rPr>
          <w:bCs/>
          <w:color w:val="000000"/>
          <w:sz w:val="28"/>
          <w:szCs w:val="28"/>
        </w:rPr>
        <w:t>,</w:t>
      </w:r>
      <w:r w:rsidR="00DD0254">
        <w:rPr>
          <w:bCs/>
          <w:color w:val="000000"/>
          <w:sz w:val="28"/>
          <w:szCs w:val="28"/>
        </w:rPr>
        <w:t>2</w:t>
      </w:r>
      <w:r w:rsidRPr="00EF4FFC">
        <w:rPr>
          <w:bCs/>
          <w:color w:val="000000"/>
          <w:sz w:val="28"/>
          <w:szCs w:val="28"/>
        </w:rPr>
        <w:t xml:space="preserve"> тыс. руб.</w:t>
      </w:r>
    </w:p>
    <w:p w:rsidR="00E34280" w:rsidRPr="00DD0254" w:rsidRDefault="00E34280" w:rsidP="00DD0254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34280">
        <w:rPr>
          <w:bCs/>
          <w:color w:val="000000"/>
          <w:sz w:val="28"/>
          <w:szCs w:val="28"/>
        </w:rPr>
        <w:t xml:space="preserve">Согласно пункту 3 статьи 92.1 Бюджетного Кодекса РФ дефицит бюджета городского округа  не должен превышать 10 процентов утвержденного общего годового объема доходов бюджета без учета утвержденного объема безвозмездных поступлений. </w:t>
      </w:r>
      <w:r>
        <w:rPr>
          <w:bCs/>
          <w:color w:val="000000"/>
          <w:sz w:val="28"/>
          <w:szCs w:val="28"/>
        </w:rPr>
        <w:t xml:space="preserve">Размер </w:t>
      </w:r>
      <w:r w:rsidR="008967DB">
        <w:rPr>
          <w:bCs/>
          <w:color w:val="000000"/>
          <w:sz w:val="28"/>
          <w:szCs w:val="28"/>
        </w:rPr>
        <w:t xml:space="preserve">установленного </w:t>
      </w:r>
      <w:r>
        <w:rPr>
          <w:bCs/>
          <w:color w:val="000000"/>
          <w:sz w:val="28"/>
          <w:szCs w:val="28"/>
        </w:rPr>
        <w:t>д</w:t>
      </w:r>
      <w:r w:rsidRPr="00E34280">
        <w:rPr>
          <w:bCs/>
          <w:color w:val="000000"/>
          <w:sz w:val="28"/>
          <w:szCs w:val="28"/>
        </w:rPr>
        <w:t>ефицит</w:t>
      </w:r>
      <w:r>
        <w:rPr>
          <w:bCs/>
          <w:color w:val="000000"/>
          <w:sz w:val="28"/>
          <w:szCs w:val="28"/>
        </w:rPr>
        <w:t>а</w:t>
      </w:r>
      <w:r w:rsidRPr="00E34280">
        <w:rPr>
          <w:bCs/>
          <w:color w:val="000000"/>
          <w:sz w:val="28"/>
          <w:szCs w:val="28"/>
        </w:rPr>
        <w:t xml:space="preserve"> бюджета</w:t>
      </w:r>
      <w:r>
        <w:rPr>
          <w:bCs/>
          <w:color w:val="000000"/>
          <w:sz w:val="28"/>
          <w:szCs w:val="28"/>
        </w:rPr>
        <w:t xml:space="preserve"> на 2013 год </w:t>
      </w:r>
      <w:r w:rsidRPr="00E34280">
        <w:rPr>
          <w:bCs/>
          <w:color w:val="000000"/>
          <w:sz w:val="28"/>
          <w:szCs w:val="28"/>
        </w:rPr>
        <w:t>не нарушает требования пункта 3 статьи 92.1 Бюджетного Кодекса РФ.</w:t>
      </w:r>
    </w:p>
    <w:p w:rsidR="00DD0254" w:rsidRPr="00EF4FFC" w:rsidRDefault="00EF4FFC" w:rsidP="00DD02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4FFC">
        <w:rPr>
          <w:color w:val="000000"/>
          <w:sz w:val="28"/>
          <w:szCs w:val="28"/>
        </w:rPr>
        <w:t>Фактическим р</w:t>
      </w:r>
      <w:r w:rsidRPr="00EF4FFC">
        <w:rPr>
          <w:sz w:val="28"/>
          <w:szCs w:val="28"/>
        </w:rPr>
        <w:t>езультатом исполнения бюджета за 201</w:t>
      </w:r>
      <w:r w:rsidR="00DD0254">
        <w:rPr>
          <w:sz w:val="28"/>
          <w:szCs w:val="28"/>
        </w:rPr>
        <w:t>3</w:t>
      </w:r>
      <w:r w:rsidRPr="00EF4FFC">
        <w:rPr>
          <w:sz w:val="28"/>
          <w:szCs w:val="28"/>
        </w:rPr>
        <w:t xml:space="preserve"> год явилось образование </w:t>
      </w:r>
      <w:r w:rsidRPr="00EF4FFC">
        <w:rPr>
          <w:b/>
          <w:sz w:val="28"/>
          <w:szCs w:val="28"/>
        </w:rPr>
        <w:t xml:space="preserve">профицита в сумме </w:t>
      </w:r>
      <w:r w:rsidR="00DD0254">
        <w:rPr>
          <w:b/>
          <w:sz w:val="28"/>
          <w:szCs w:val="28"/>
        </w:rPr>
        <w:t>132612</w:t>
      </w:r>
      <w:r w:rsidRPr="00EF4FFC">
        <w:rPr>
          <w:b/>
          <w:sz w:val="28"/>
          <w:szCs w:val="28"/>
        </w:rPr>
        <w:t>,0 тыс. руб.,</w:t>
      </w:r>
      <w:r w:rsidRPr="00EF4FFC">
        <w:rPr>
          <w:sz w:val="28"/>
          <w:szCs w:val="28"/>
        </w:rPr>
        <w:t xml:space="preserve"> что </w:t>
      </w:r>
      <w:r w:rsidR="00DD0254" w:rsidRPr="00EF4FFC">
        <w:rPr>
          <w:sz w:val="28"/>
          <w:szCs w:val="28"/>
        </w:rPr>
        <w:t xml:space="preserve">в </w:t>
      </w:r>
      <w:r w:rsidR="00DD0254">
        <w:rPr>
          <w:sz w:val="28"/>
          <w:szCs w:val="28"/>
        </w:rPr>
        <w:t>2,4</w:t>
      </w:r>
      <w:r w:rsidR="00DD0254" w:rsidRPr="00EF4FFC">
        <w:rPr>
          <w:sz w:val="28"/>
          <w:szCs w:val="28"/>
        </w:rPr>
        <w:t xml:space="preserve"> раза превысило сумму планируемого дефицита</w:t>
      </w:r>
      <w:r w:rsidR="00DD0254">
        <w:rPr>
          <w:sz w:val="28"/>
          <w:szCs w:val="28"/>
        </w:rPr>
        <w:t>. Следует отметить, что в</w:t>
      </w:r>
      <w:r w:rsidR="00DD0254" w:rsidRPr="00EF4FFC">
        <w:rPr>
          <w:sz w:val="28"/>
          <w:szCs w:val="28"/>
        </w:rPr>
        <w:t xml:space="preserve"> 2012 год</w:t>
      </w:r>
      <w:r w:rsidR="00DD0254">
        <w:rPr>
          <w:sz w:val="28"/>
          <w:szCs w:val="28"/>
        </w:rPr>
        <w:t>у</w:t>
      </w:r>
      <w:r w:rsidR="00DD0254" w:rsidRPr="00EF4FFC">
        <w:rPr>
          <w:sz w:val="28"/>
          <w:szCs w:val="28"/>
        </w:rPr>
        <w:t xml:space="preserve"> </w:t>
      </w:r>
      <w:r w:rsidR="00DD0254">
        <w:rPr>
          <w:sz w:val="28"/>
          <w:szCs w:val="28"/>
        </w:rPr>
        <w:t xml:space="preserve">результатом исполнения бюджета городского округа также явилось образование </w:t>
      </w:r>
      <w:r w:rsidR="00DD0254" w:rsidRPr="00EF4FFC">
        <w:rPr>
          <w:b/>
          <w:sz w:val="28"/>
          <w:szCs w:val="28"/>
        </w:rPr>
        <w:t>профицита в сумме 59760,0 тыс. руб.,</w:t>
      </w:r>
      <w:r w:rsidR="00DD0254" w:rsidRPr="00EF4FFC">
        <w:rPr>
          <w:sz w:val="28"/>
          <w:szCs w:val="28"/>
        </w:rPr>
        <w:t xml:space="preserve"> </w:t>
      </w:r>
      <w:r w:rsidR="00DD0254">
        <w:rPr>
          <w:sz w:val="28"/>
          <w:szCs w:val="28"/>
        </w:rPr>
        <w:t>который</w:t>
      </w:r>
      <w:r w:rsidR="00DD0254" w:rsidRPr="00EF4FFC">
        <w:rPr>
          <w:sz w:val="28"/>
          <w:szCs w:val="28"/>
        </w:rPr>
        <w:t xml:space="preserve"> в 3,</w:t>
      </w:r>
      <w:r w:rsidR="00DD0254">
        <w:rPr>
          <w:sz w:val="28"/>
          <w:szCs w:val="28"/>
        </w:rPr>
        <w:t>9</w:t>
      </w:r>
      <w:r w:rsidR="00DD0254" w:rsidRPr="00EF4FFC">
        <w:rPr>
          <w:sz w:val="28"/>
          <w:szCs w:val="28"/>
        </w:rPr>
        <w:t xml:space="preserve"> раз превысил сумму планируемого дефицита.</w:t>
      </w:r>
    </w:p>
    <w:p w:rsidR="00EF4FFC" w:rsidRPr="00EF4FFC" w:rsidRDefault="00EF4FFC" w:rsidP="00EF4FFC">
      <w:pPr>
        <w:widowControl w:val="0"/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</w:p>
    <w:p w:rsidR="00EF4FFC" w:rsidRPr="00EF4FFC" w:rsidRDefault="006970B1" w:rsidP="006970B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r w:rsidR="00EF4FFC" w:rsidRPr="00EF4FFC">
        <w:rPr>
          <w:b/>
          <w:bCs/>
          <w:color w:val="000000"/>
          <w:sz w:val="28"/>
          <w:szCs w:val="28"/>
        </w:rPr>
        <w:t>Заключительная часть</w:t>
      </w:r>
      <w:r w:rsidR="00EF4FFC" w:rsidRPr="00EF4FFC">
        <w:rPr>
          <w:color w:val="000000"/>
          <w:sz w:val="28"/>
          <w:szCs w:val="28"/>
        </w:rPr>
        <w:t xml:space="preserve"> </w:t>
      </w:r>
    </w:p>
    <w:p w:rsidR="00EF4FFC" w:rsidRPr="00EF4FFC" w:rsidRDefault="00EF4FFC" w:rsidP="00EF4F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F4FFC" w:rsidRPr="00EF4FFC" w:rsidRDefault="00EF4FFC" w:rsidP="00EF4FF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F4FFC">
        <w:rPr>
          <w:b/>
          <w:bCs/>
          <w:color w:val="000000"/>
          <w:sz w:val="28"/>
          <w:szCs w:val="28"/>
        </w:rPr>
        <w:t>Выводы:</w:t>
      </w:r>
    </w:p>
    <w:p w:rsidR="00EF4FFC" w:rsidRPr="00EF4FFC" w:rsidRDefault="00EF4FFC" w:rsidP="00EF4F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F4FFC"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EF4FFC" w:rsidRPr="00EF4FFC" w:rsidRDefault="00EF4FFC" w:rsidP="00EF4FF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4FFC">
        <w:rPr>
          <w:color w:val="000000"/>
          <w:sz w:val="28"/>
          <w:szCs w:val="28"/>
        </w:rPr>
        <w:t xml:space="preserve">1. Отчет об исполнении </w:t>
      </w:r>
      <w:r w:rsidRPr="00EF4FFC">
        <w:rPr>
          <w:sz w:val="28"/>
          <w:szCs w:val="28"/>
        </w:rPr>
        <w:t>бюджета городского округа Котел</w:t>
      </w:r>
      <w:r w:rsidR="00DD0254">
        <w:rPr>
          <w:sz w:val="28"/>
          <w:szCs w:val="28"/>
        </w:rPr>
        <w:t>ьники Московской области за 2013</w:t>
      </w:r>
      <w:r w:rsidRPr="00EF4FFC">
        <w:rPr>
          <w:sz w:val="28"/>
          <w:szCs w:val="28"/>
        </w:rPr>
        <w:t xml:space="preserve"> год</w:t>
      </w:r>
      <w:r w:rsidRPr="00EF4FFC">
        <w:rPr>
          <w:color w:val="000000"/>
          <w:sz w:val="28"/>
          <w:szCs w:val="28"/>
        </w:rPr>
        <w:t xml:space="preserve"> предоставлен в Контрольно-счетн</w:t>
      </w:r>
      <w:r w:rsidR="00DD0254">
        <w:rPr>
          <w:color w:val="000000"/>
          <w:sz w:val="28"/>
          <w:szCs w:val="28"/>
        </w:rPr>
        <w:t>ую</w:t>
      </w:r>
      <w:r w:rsidRPr="00EF4FFC">
        <w:rPr>
          <w:color w:val="000000"/>
          <w:sz w:val="28"/>
          <w:szCs w:val="28"/>
        </w:rPr>
        <w:t xml:space="preserve"> </w:t>
      </w:r>
      <w:r w:rsidR="00DD0254">
        <w:rPr>
          <w:color w:val="000000"/>
          <w:sz w:val="28"/>
          <w:szCs w:val="28"/>
        </w:rPr>
        <w:t xml:space="preserve">палату </w:t>
      </w:r>
      <w:r w:rsidRPr="00EF4FFC">
        <w:rPr>
          <w:color w:val="000000"/>
          <w:sz w:val="28"/>
          <w:szCs w:val="28"/>
        </w:rPr>
        <w:t>городского округа Котельники Московской области  с соблюдением установленного законодательством срока.</w:t>
      </w:r>
    </w:p>
    <w:p w:rsidR="00EF4FFC" w:rsidRPr="00EF4FFC" w:rsidRDefault="00EF4FFC" w:rsidP="00EF4F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EF4FFC" w:rsidRPr="00EF4FFC" w:rsidRDefault="00EF4FFC" w:rsidP="00EF4FF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4FFC">
        <w:rPr>
          <w:color w:val="000000"/>
          <w:sz w:val="28"/>
          <w:szCs w:val="28"/>
        </w:rPr>
        <w:t xml:space="preserve">2. Предоставленная бюджетная отчетность городского округа Котельники соответствует требованиям </w:t>
      </w:r>
      <w:r w:rsidRPr="00EF4FFC">
        <w:rPr>
          <w:sz w:val="28"/>
          <w:szCs w:val="28"/>
        </w:rPr>
        <w:t>п.3 ст. 264.1. Бюджетного кодекса РФ.</w:t>
      </w:r>
      <w:r w:rsidRPr="00EF4FFC">
        <w:rPr>
          <w:color w:val="000000"/>
          <w:sz w:val="28"/>
          <w:szCs w:val="28"/>
        </w:rPr>
        <w:t xml:space="preserve"> </w:t>
      </w:r>
    </w:p>
    <w:p w:rsidR="00EF4FFC" w:rsidRPr="00EF4FFC" w:rsidRDefault="00EF4FFC" w:rsidP="00EF4FFC">
      <w:pPr>
        <w:jc w:val="both"/>
        <w:rPr>
          <w:bCs/>
          <w:sz w:val="28"/>
          <w:szCs w:val="28"/>
        </w:rPr>
      </w:pPr>
    </w:p>
    <w:p w:rsidR="00EF4FFC" w:rsidRPr="00EF4FFC" w:rsidRDefault="00EF4FFC" w:rsidP="00EF4FFC">
      <w:pPr>
        <w:jc w:val="both"/>
        <w:rPr>
          <w:sz w:val="28"/>
          <w:szCs w:val="28"/>
        </w:rPr>
      </w:pPr>
      <w:r w:rsidRPr="00EF4FFC">
        <w:rPr>
          <w:bCs/>
          <w:sz w:val="28"/>
          <w:szCs w:val="28"/>
        </w:rPr>
        <w:t>3. В ходе мониторинга текущего исполнения бюджета городского округа Котельники выявлена т</w:t>
      </w:r>
      <w:r w:rsidRPr="00EF4FFC">
        <w:rPr>
          <w:sz w:val="28"/>
          <w:szCs w:val="28"/>
        </w:rPr>
        <w:t xml:space="preserve">енденция неравномерного исполнения бюджета. </w:t>
      </w:r>
    </w:p>
    <w:p w:rsidR="00EF4FFC" w:rsidRPr="00EF4FFC" w:rsidRDefault="00EF4FFC" w:rsidP="00EF4FFC">
      <w:pPr>
        <w:jc w:val="both"/>
        <w:rPr>
          <w:sz w:val="28"/>
          <w:szCs w:val="28"/>
        </w:rPr>
      </w:pPr>
    </w:p>
    <w:p w:rsidR="00EF4FFC" w:rsidRPr="00EF4FFC" w:rsidRDefault="00EF4FFC" w:rsidP="00DD0254">
      <w:pPr>
        <w:jc w:val="both"/>
        <w:rPr>
          <w:color w:val="000000"/>
          <w:sz w:val="28"/>
          <w:szCs w:val="28"/>
        </w:rPr>
      </w:pPr>
      <w:r w:rsidRPr="00EF4FFC">
        <w:rPr>
          <w:sz w:val="28"/>
          <w:szCs w:val="28"/>
        </w:rPr>
        <w:lastRenderedPageBreak/>
        <w:t xml:space="preserve">4. </w:t>
      </w:r>
      <w:r w:rsidR="00DD0254">
        <w:rPr>
          <w:sz w:val="28"/>
          <w:szCs w:val="28"/>
        </w:rPr>
        <w:t>Н</w:t>
      </w:r>
      <w:r w:rsidRPr="00EF4FFC">
        <w:rPr>
          <w:color w:val="000000"/>
          <w:sz w:val="28"/>
          <w:szCs w:val="28"/>
        </w:rPr>
        <w:t>изкий уровень освоения сре</w:t>
      </w:r>
      <w:proofErr w:type="gramStart"/>
      <w:r w:rsidRPr="00EF4FFC">
        <w:rPr>
          <w:color w:val="000000"/>
          <w:sz w:val="28"/>
          <w:szCs w:val="28"/>
        </w:rPr>
        <w:t>дств пр</w:t>
      </w:r>
      <w:proofErr w:type="gramEnd"/>
      <w:r w:rsidRPr="00EF4FFC">
        <w:rPr>
          <w:color w:val="000000"/>
          <w:sz w:val="28"/>
          <w:szCs w:val="28"/>
        </w:rPr>
        <w:t>и реализации мероприятий ряда принятых долгосрочных целевых программ и наличие значительных остатков.</w:t>
      </w:r>
    </w:p>
    <w:p w:rsidR="00EF4FFC" w:rsidRPr="00EF4FFC" w:rsidRDefault="00EF4FFC" w:rsidP="00EF4FF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EF4FFC" w:rsidRPr="00EF4FFC" w:rsidRDefault="00EF4FFC" w:rsidP="00EF4FFC">
      <w:pPr>
        <w:jc w:val="both"/>
        <w:rPr>
          <w:color w:val="000000"/>
          <w:sz w:val="28"/>
          <w:szCs w:val="28"/>
          <w:shd w:val="clear" w:color="auto" w:fill="FFFFFF"/>
        </w:rPr>
      </w:pPr>
      <w:r w:rsidRPr="00EF4FFC">
        <w:rPr>
          <w:color w:val="000000"/>
          <w:sz w:val="28"/>
          <w:szCs w:val="28"/>
          <w:shd w:val="clear" w:color="auto" w:fill="FFFFFF"/>
        </w:rPr>
        <w:t>5. Многократно</w:t>
      </w:r>
      <w:r w:rsidR="00AD62D1">
        <w:rPr>
          <w:color w:val="000000"/>
          <w:sz w:val="28"/>
          <w:szCs w:val="28"/>
          <w:shd w:val="clear" w:color="auto" w:fill="FFFFFF"/>
        </w:rPr>
        <w:t>е</w:t>
      </w:r>
      <w:r w:rsidRPr="00EF4FFC">
        <w:rPr>
          <w:color w:val="000000"/>
          <w:sz w:val="28"/>
          <w:szCs w:val="28"/>
          <w:shd w:val="clear" w:color="auto" w:fill="FFFFFF"/>
        </w:rPr>
        <w:t xml:space="preserve"> внесени</w:t>
      </w:r>
      <w:r w:rsidR="00AD62D1">
        <w:rPr>
          <w:color w:val="000000"/>
          <w:sz w:val="28"/>
          <w:szCs w:val="28"/>
          <w:shd w:val="clear" w:color="auto" w:fill="FFFFFF"/>
        </w:rPr>
        <w:t>е</w:t>
      </w:r>
      <w:r w:rsidRPr="00EF4FFC">
        <w:rPr>
          <w:color w:val="000000"/>
          <w:sz w:val="28"/>
          <w:szCs w:val="28"/>
          <w:shd w:val="clear" w:color="auto" w:fill="FFFFFF"/>
        </w:rPr>
        <w:t xml:space="preserve"> изменений в </w:t>
      </w:r>
      <w:r w:rsidR="00AD62D1">
        <w:rPr>
          <w:color w:val="000000"/>
          <w:sz w:val="28"/>
          <w:szCs w:val="28"/>
          <w:shd w:val="clear" w:color="auto" w:fill="FFFFFF"/>
        </w:rPr>
        <w:t>Р</w:t>
      </w:r>
      <w:r w:rsidRPr="00EF4FFC">
        <w:rPr>
          <w:color w:val="000000"/>
          <w:sz w:val="28"/>
          <w:szCs w:val="28"/>
          <w:shd w:val="clear" w:color="auto" w:fill="FFFFFF"/>
        </w:rPr>
        <w:t>ешени</w:t>
      </w:r>
      <w:r w:rsidR="00074EDF">
        <w:rPr>
          <w:color w:val="000000"/>
          <w:sz w:val="28"/>
          <w:szCs w:val="28"/>
          <w:shd w:val="clear" w:color="auto" w:fill="FFFFFF"/>
        </w:rPr>
        <w:t>е</w:t>
      </w:r>
      <w:r w:rsidRPr="00EF4FFC">
        <w:rPr>
          <w:color w:val="000000"/>
          <w:sz w:val="28"/>
          <w:szCs w:val="28"/>
          <w:shd w:val="clear" w:color="auto" w:fill="FFFFFF"/>
        </w:rPr>
        <w:t xml:space="preserve"> о бюджете городского округа Котельники Московской области на 201</w:t>
      </w:r>
      <w:r w:rsidR="00AD62D1">
        <w:rPr>
          <w:color w:val="000000"/>
          <w:sz w:val="28"/>
          <w:szCs w:val="28"/>
          <w:shd w:val="clear" w:color="auto" w:fill="FFFFFF"/>
        </w:rPr>
        <w:t>3</w:t>
      </w:r>
      <w:r w:rsidRPr="00EF4FFC">
        <w:rPr>
          <w:color w:val="000000"/>
          <w:sz w:val="28"/>
          <w:szCs w:val="28"/>
          <w:shd w:val="clear" w:color="auto" w:fill="FFFFFF"/>
        </w:rPr>
        <w:t xml:space="preserve"> год указывает на некачественное и недостоверное планирование, не обеспечивающее реалистичность расчета доходов и расходов бюджета, и не соответствует установленному ст. 37 БК РФ принципу достоверности бюджета.</w:t>
      </w:r>
    </w:p>
    <w:p w:rsidR="00EF4FFC" w:rsidRPr="00EF4FFC" w:rsidRDefault="00EF4FFC" w:rsidP="00EF4FFC">
      <w:pPr>
        <w:jc w:val="both"/>
        <w:rPr>
          <w:bCs/>
          <w:sz w:val="28"/>
          <w:szCs w:val="28"/>
        </w:rPr>
      </w:pPr>
    </w:p>
    <w:p w:rsidR="00EF4FFC" w:rsidRPr="00EF4FFC" w:rsidRDefault="00EF4FFC" w:rsidP="00EF4FFC">
      <w:pPr>
        <w:jc w:val="both"/>
        <w:rPr>
          <w:bCs/>
          <w:sz w:val="28"/>
          <w:szCs w:val="28"/>
        </w:rPr>
      </w:pPr>
      <w:r w:rsidRPr="00EF4FFC">
        <w:rPr>
          <w:bCs/>
          <w:sz w:val="28"/>
          <w:szCs w:val="28"/>
        </w:rPr>
        <w:t>6. Недостаточный уровень качества управления и контроля  муниципальными финансами.</w:t>
      </w:r>
    </w:p>
    <w:p w:rsidR="00EF4FFC" w:rsidRPr="00EF4FFC" w:rsidRDefault="00EF4FFC" w:rsidP="00EF4F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FFC" w:rsidRPr="00EF4FFC" w:rsidRDefault="00EF4FFC" w:rsidP="00EF4F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FFC">
        <w:rPr>
          <w:sz w:val="28"/>
          <w:szCs w:val="28"/>
        </w:rPr>
        <w:t>7. Отсутствие анализа поквартального исполнения бюджета городского округа Котельники Московской области.</w:t>
      </w:r>
    </w:p>
    <w:p w:rsidR="00EF4FFC" w:rsidRPr="00EF4FFC" w:rsidRDefault="00EF4FFC" w:rsidP="00EF4F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FFC">
        <w:rPr>
          <w:sz w:val="28"/>
          <w:szCs w:val="28"/>
        </w:rPr>
        <w:t xml:space="preserve"> </w:t>
      </w:r>
    </w:p>
    <w:p w:rsidR="00EF4FFC" w:rsidRPr="00EF4FFC" w:rsidRDefault="00EF4FFC" w:rsidP="00EF4F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FFC">
        <w:rPr>
          <w:sz w:val="28"/>
          <w:szCs w:val="28"/>
        </w:rPr>
        <w:t xml:space="preserve">8. Внешняя проверка исполнения бюджета </w:t>
      </w:r>
      <w:r w:rsidRPr="00EF4FFC">
        <w:rPr>
          <w:bCs/>
          <w:sz w:val="28"/>
          <w:szCs w:val="28"/>
        </w:rPr>
        <w:t>городского округа Котельники Московской области за 201</w:t>
      </w:r>
      <w:r w:rsidR="00AD62D1">
        <w:rPr>
          <w:bCs/>
          <w:sz w:val="28"/>
          <w:szCs w:val="28"/>
        </w:rPr>
        <w:t>3</w:t>
      </w:r>
      <w:r w:rsidRPr="00EF4FFC">
        <w:rPr>
          <w:bCs/>
          <w:sz w:val="28"/>
          <w:szCs w:val="28"/>
        </w:rPr>
        <w:t xml:space="preserve"> год</w:t>
      </w:r>
      <w:r w:rsidRPr="00EF4FFC">
        <w:rPr>
          <w:sz w:val="28"/>
          <w:szCs w:val="28"/>
        </w:rPr>
        <w:t>, проведенная Контрольно-счетн</w:t>
      </w:r>
      <w:r w:rsidR="00AD62D1">
        <w:rPr>
          <w:sz w:val="28"/>
          <w:szCs w:val="28"/>
        </w:rPr>
        <w:t>ой</w:t>
      </w:r>
      <w:r w:rsidRPr="00EF4FFC">
        <w:rPr>
          <w:sz w:val="28"/>
          <w:szCs w:val="28"/>
        </w:rPr>
        <w:t xml:space="preserve"> </w:t>
      </w:r>
      <w:r w:rsidR="00AD62D1">
        <w:rPr>
          <w:sz w:val="28"/>
          <w:szCs w:val="28"/>
        </w:rPr>
        <w:t>палатой</w:t>
      </w:r>
      <w:r w:rsidRPr="00EF4FFC">
        <w:rPr>
          <w:sz w:val="28"/>
          <w:szCs w:val="28"/>
        </w:rPr>
        <w:t xml:space="preserve">, показала, что  основные параметры бюджета городского округа Котельники, выполнены.  </w:t>
      </w:r>
    </w:p>
    <w:p w:rsidR="00EF4FFC" w:rsidRPr="00EF4FFC" w:rsidRDefault="00EF4FFC" w:rsidP="00EF4FFC">
      <w:pPr>
        <w:jc w:val="both"/>
        <w:rPr>
          <w:spacing w:val="4"/>
          <w:sz w:val="28"/>
          <w:szCs w:val="28"/>
        </w:rPr>
      </w:pPr>
    </w:p>
    <w:p w:rsidR="00EF4FFC" w:rsidRPr="005E3787" w:rsidRDefault="00EF4FFC" w:rsidP="00EF4FFC">
      <w:pPr>
        <w:jc w:val="both"/>
        <w:rPr>
          <w:spacing w:val="4"/>
          <w:sz w:val="28"/>
          <w:szCs w:val="28"/>
        </w:rPr>
      </w:pPr>
      <w:r w:rsidRPr="005E3787">
        <w:rPr>
          <w:spacing w:val="4"/>
          <w:sz w:val="28"/>
          <w:szCs w:val="28"/>
        </w:rPr>
        <w:t xml:space="preserve">9. </w:t>
      </w:r>
      <w:r w:rsidR="005E3787" w:rsidRPr="005E3787">
        <w:rPr>
          <w:spacing w:val="7"/>
          <w:sz w:val="28"/>
          <w:szCs w:val="28"/>
        </w:rPr>
        <w:t>Представленный отчет</w:t>
      </w:r>
      <w:r w:rsidRPr="005E3787">
        <w:rPr>
          <w:bCs/>
          <w:sz w:val="28"/>
          <w:szCs w:val="28"/>
        </w:rPr>
        <w:t xml:space="preserve"> </w:t>
      </w:r>
      <w:r w:rsidR="005E3787">
        <w:rPr>
          <w:bCs/>
          <w:sz w:val="28"/>
          <w:szCs w:val="28"/>
        </w:rPr>
        <w:t>«О</w:t>
      </w:r>
      <w:r w:rsidRPr="005E3787">
        <w:rPr>
          <w:bCs/>
          <w:sz w:val="28"/>
          <w:szCs w:val="28"/>
        </w:rPr>
        <w:t xml:space="preserve">б </w:t>
      </w:r>
      <w:proofErr w:type="gramStart"/>
      <w:r w:rsidRPr="005E3787">
        <w:rPr>
          <w:bCs/>
          <w:sz w:val="28"/>
          <w:szCs w:val="28"/>
        </w:rPr>
        <w:t>исполнении</w:t>
      </w:r>
      <w:proofErr w:type="gramEnd"/>
      <w:r w:rsidRPr="005E3787">
        <w:rPr>
          <w:bCs/>
          <w:sz w:val="28"/>
          <w:szCs w:val="28"/>
        </w:rPr>
        <w:t xml:space="preserve"> бюджета городского округа Котельники Московской области за 201</w:t>
      </w:r>
      <w:r w:rsidR="005E3787" w:rsidRPr="005E3787">
        <w:rPr>
          <w:bCs/>
          <w:sz w:val="28"/>
          <w:szCs w:val="28"/>
        </w:rPr>
        <w:t>3</w:t>
      </w:r>
      <w:r w:rsidRPr="005E3787">
        <w:rPr>
          <w:bCs/>
          <w:sz w:val="28"/>
          <w:szCs w:val="28"/>
        </w:rPr>
        <w:t xml:space="preserve"> год</w:t>
      </w:r>
      <w:r w:rsidR="005E3787">
        <w:rPr>
          <w:bCs/>
          <w:sz w:val="28"/>
          <w:szCs w:val="28"/>
        </w:rPr>
        <w:t>»</w:t>
      </w:r>
      <w:r w:rsidRPr="005E3787">
        <w:rPr>
          <w:bCs/>
          <w:sz w:val="28"/>
          <w:szCs w:val="28"/>
        </w:rPr>
        <w:t xml:space="preserve"> </w:t>
      </w:r>
      <w:r w:rsidR="005E3787" w:rsidRPr="005E3787">
        <w:rPr>
          <w:spacing w:val="7"/>
          <w:sz w:val="28"/>
          <w:szCs w:val="28"/>
        </w:rPr>
        <w:t xml:space="preserve">соответствует </w:t>
      </w:r>
      <w:r w:rsidR="005E3787" w:rsidRPr="005E3787">
        <w:rPr>
          <w:spacing w:val="4"/>
          <w:sz w:val="28"/>
          <w:szCs w:val="28"/>
        </w:rPr>
        <w:t>нормам действующего бюджетного законодательства.</w:t>
      </w:r>
    </w:p>
    <w:p w:rsidR="00EF4FFC" w:rsidRPr="00EF4FFC" w:rsidRDefault="00EF4FFC" w:rsidP="00EF4F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F4FFC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EF4FFC" w:rsidRPr="00EF4FFC" w:rsidRDefault="00EF4FFC" w:rsidP="00EF4FF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F4FFC">
        <w:rPr>
          <w:b/>
          <w:bCs/>
          <w:color w:val="000000"/>
          <w:sz w:val="28"/>
          <w:szCs w:val="28"/>
        </w:rPr>
        <w:t>Рекомендации:</w:t>
      </w:r>
    </w:p>
    <w:p w:rsidR="00EF4FFC" w:rsidRPr="00EF4FFC" w:rsidRDefault="00EF4FFC" w:rsidP="00EF4FFC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F4FFC" w:rsidRPr="00EF4FFC" w:rsidRDefault="00EF4FFC" w:rsidP="00EF4FFC">
      <w:pPr>
        <w:shd w:val="clear" w:color="auto" w:fill="FFFFFF"/>
        <w:tabs>
          <w:tab w:val="left" w:pos="284"/>
        </w:tabs>
        <w:spacing w:after="45"/>
        <w:jc w:val="both"/>
        <w:outlineLvl w:val="2"/>
        <w:rPr>
          <w:bCs/>
          <w:sz w:val="28"/>
          <w:szCs w:val="28"/>
        </w:rPr>
      </w:pPr>
      <w:r w:rsidRPr="00EF4FFC">
        <w:rPr>
          <w:bCs/>
          <w:sz w:val="28"/>
          <w:szCs w:val="28"/>
        </w:rPr>
        <w:t>1. Повысить качество планирования бюджетных ассигнований и ответственность за их исполнение.</w:t>
      </w:r>
    </w:p>
    <w:p w:rsidR="00EF4FFC" w:rsidRPr="00EF4FFC" w:rsidRDefault="00EF4FFC" w:rsidP="00EF4FFC">
      <w:pPr>
        <w:tabs>
          <w:tab w:val="left" w:pos="900"/>
        </w:tabs>
        <w:jc w:val="both"/>
        <w:rPr>
          <w:sz w:val="28"/>
          <w:szCs w:val="28"/>
        </w:rPr>
      </w:pPr>
    </w:p>
    <w:p w:rsidR="00EF4FFC" w:rsidRPr="00EF4FFC" w:rsidRDefault="00EF4FFC" w:rsidP="00EF4FFC">
      <w:pPr>
        <w:tabs>
          <w:tab w:val="left" w:pos="900"/>
        </w:tabs>
        <w:jc w:val="both"/>
        <w:rPr>
          <w:sz w:val="28"/>
          <w:szCs w:val="28"/>
        </w:rPr>
      </w:pPr>
      <w:r w:rsidRPr="00E2784C">
        <w:rPr>
          <w:sz w:val="28"/>
          <w:szCs w:val="28"/>
        </w:rPr>
        <w:t xml:space="preserve">2. </w:t>
      </w:r>
      <w:r w:rsidR="00E2784C" w:rsidRPr="00E2784C">
        <w:rPr>
          <w:sz w:val="28"/>
          <w:szCs w:val="28"/>
        </w:rPr>
        <w:t>О</w:t>
      </w:r>
      <w:r w:rsidRPr="00E2784C">
        <w:rPr>
          <w:sz w:val="28"/>
          <w:szCs w:val="28"/>
        </w:rPr>
        <w:t>существлять прогнозирование равномерного исполнения  бюджета городского округа</w:t>
      </w:r>
      <w:r w:rsidRPr="00EF4FFC">
        <w:rPr>
          <w:sz w:val="28"/>
          <w:szCs w:val="28"/>
        </w:rPr>
        <w:t xml:space="preserve"> Котельники в разрезе кварталов отчетного года.</w:t>
      </w:r>
    </w:p>
    <w:p w:rsidR="00EF4FFC" w:rsidRPr="00EF4FFC" w:rsidRDefault="00EF4FFC" w:rsidP="00EF4FFC">
      <w:pPr>
        <w:tabs>
          <w:tab w:val="left" w:pos="900"/>
        </w:tabs>
        <w:jc w:val="both"/>
        <w:rPr>
          <w:sz w:val="28"/>
          <w:szCs w:val="28"/>
        </w:rPr>
      </w:pPr>
    </w:p>
    <w:p w:rsidR="00EF4FFC" w:rsidRPr="00EF4FFC" w:rsidRDefault="00EF4FFC" w:rsidP="00EF4FFC">
      <w:pPr>
        <w:tabs>
          <w:tab w:val="left" w:pos="900"/>
        </w:tabs>
        <w:jc w:val="both"/>
        <w:rPr>
          <w:sz w:val="28"/>
          <w:szCs w:val="28"/>
        </w:rPr>
      </w:pPr>
      <w:r w:rsidRPr="00EF4FFC">
        <w:rPr>
          <w:sz w:val="28"/>
          <w:szCs w:val="28"/>
        </w:rPr>
        <w:t>3. В полной мере реализовывать программно-целевой принцип планирования бюджета, в том числе концентрировать средства на наиболее значимых направлениях.</w:t>
      </w:r>
    </w:p>
    <w:p w:rsidR="00EF4FFC" w:rsidRPr="00EF4FFC" w:rsidRDefault="00EF4FFC" w:rsidP="00EF4F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EF4FFC" w:rsidRPr="00EF4FFC" w:rsidRDefault="00EF4FFC" w:rsidP="00EF4FFC">
      <w:pPr>
        <w:jc w:val="both"/>
        <w:rPr>
          <w:bCs/>
          <w:sz w:val="28"/>
          <w:szCs w:val="28"/>
        </w:rPr>
      </w:pPr>
      <w:r w:rsidRPr="00EF4FFC">
        <w:rPr>
          <w:bCs/>
          <w:sz w:val="28"/>
          <w:szCs w:val="28"/>
        </w:rPr>
        <w:t>4. Повысить качество управления и контроля муниципальными финансами.</w:t>
      </w:r>
    </w:p>
    <w:p w:rsidR="00EF4FFC" w:rsidRPr="00EF4FFC" w:rsidRDefault="00EF4FFC" w:rsidP="00EF4FFC">
      <w:pPr>
        <w:jc w:val="both"/>
        <w:rPr>
          <w:bCs/>
          <w:sz w:val="28"/>
          <w:szCs w:val="28"/>
        </w:rPr>
      </w:pPr>
    </w:p>
    <w:p w:rsidR="00EF4FFC" w:rsidRPr="00EF4FFC" w:rsidRDefault="00EF4FFC" w:rsidP="00EF4FF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F4FFC">
        <w:rPr>
          <w:bCs/>
          <w:sz w:val="28"/>
          <w:szCs w:val="28"/>
        </w:rPr>
        <w:t xml:space="preserve">5. </w:t>
      </w:r>
      <w:r w:rsidRPr="00EF4FFC">
        <w:rPr>
          <w:color w:val="000000"/>
          <w:sz w:val="28"/>
          <w:szCs w:val="28"/>
          <w:shd w:val="clear" w:color="auto" w:fill="FFFFFF"/>
        </w:rPr>
        <w:t>Осуществлять качественное и точное с</w:t>
      </w:r>
      <w:r w:rsidRPr="00EF4FFC">
        <w:rPr>
          <w:sz w:val="28"/>
          <w:szCs w:val="28"/>
        </w:rPr>
        <w:t>оставление прогноза социально-экономического развития городского округа Котельники</w:t>
      </w:r>
      <w:r w:rsidRPr="00EF4FFC">
        <w:rPr>
          <w:color w:val="000000"/>
          <w:sz w:val="28"/>
          <w:szCs w:val="28"/>
          <w:shd w:val="clear" w:color="auto" w:fill="FFFFFF"/>
        </w:rPr>
        <w:t xml:space="preserve"> и </w:t>
      </w:r>
      <w:r w:rsidRPr="00EF4FFC">
        <w:rPr>
          <w:bCs/>
          <w:sz w:val="28"/>
          <w:szCs w:val="28"/>
        </w:rPr>
        <w:t>оптимизировать процесс внесения изменений в бюджет городского округа Котельники Московской области.</w:t>
      </w:r>
    </w:p>
    <w:p w:rsidR="00EF4FFC" w:rsidRPr="00EF4FFC" w:rsidRDefault="00EF4FFC" w:rsidP="00EF4FFC">
      <w:pPr>
        <w:autoSpaceDE w:val="0"/>
        <w:autoSpaceDN w:val="0"/>
        <w:adjustRightInd w:val="0"/>
        <w:rPr>
          <w:sz w:val="28"/>
          <w:szCs w:val="28"/>
        </w:rPr>
      </w:pPr>
    </w:p>
    <w:p w:rsidR="00EF4FFC" w:rsidRPr="00EF4FFC" w:rsidRDefault="00EF4FFC" w:rsidP="00EF4F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4FFC">
        <w:rPr>
          <w:color w:val="000000"/>
          <w:sz w:val="28"/>
          <w:szCs w:val="28"/>
        </w:rPr>
        <w:t>7. Контрольно-счетн</w:t>
      </w:r>
      <w:r w:rsidR="005E3787">
        <w:rPr>
          <w:color w:val="000000"/>
          <w:sz w:val="28"/>
          <w:szCs w:val="28"/>
        </w:rPr>
        <w:t>ая</w:t>
      </w:r>
      <w:r w:rsidRPr="00EF4FFC">
        <w:rPr>
          <w:color w:val="000000"/>
          <w:sz w:val="28"/>
          <w:szCs w:val="28"/>
        </w:rPr>
        <w:t xml:space="preserve"> </w:t>
      </w:r>
      <w:r w:rsidR="005E3787">
        <w:rPr>
          <w:color w:val="000000"/>
          <w:sz w:val="28"/>
          <w:szCs w:val="28"/>
        </w:rPr>
        <w:t>палата</w:t>
      </w:r>
      <w:r w:rsidRPr="00EF4FFC">
        <w:rPr>
          <w:color w:val="000000"/>
          <w:sz w:val="28"/>
          <w:szCs w:val="28"/>
        </w:rPr>
        <w:t xml:space="preserve"> </w:t>
      </w:r>
      <w:r w:rsidRPr="00EF4FFC">
        <w:rPr>
          <w:bCs/>
          <w:color w:val="000000"/>
          <w:sz w:val="28"/>
          <w:szCs w:val="28"/>
        </w:rPr>
        <w:t>рекомендует</w:t>
      </w:r>
      <w:r w:rsidRPr="00EF4FFC">
        <w:rPr>
          <w:color w:val="000000"/>
          <w:sz w:val="28"/>
          <w:szCs w:val="28"/>
        </w:rPr>
        <w:t xml:space="preserve"> </w:t>
      </w:r>
      <w:r w:rsidRPr="00EF4FFC">
        <w:rPr>
          <w:sz w:val="28"/>
          <w:szCs w:val="28"/>
        </w:rPr>
        <w:t xml:space="preserve">отчет «Об </w:t>
      </w:r>
      <w:proofErr w:type="gramStart"/>
      <w:r w:rsidRPr="00EF4FFC">
        <w:rPr>
          <w:sz w:val="28"/>
          <w:szCs w:val="28"/>
        </w:rPr>
        <w:t>исполнении</w:t>
      </w:r>
      <w:proofErr w:type="gramEnd"/>
      <w:r w:rsidRPr="00EF4FFC">
        <w:rPr>
          <w:sz w:val="28"/>
          <w:szCs w:val="28"/>
        </w:rPr>
        <w:t xml:space="preserve"> бюджета </w:t>
      </w:r>
      <w:r w:rsidRPr="00EF4FFC">
        <w:rPr>
          <w:bCs/>
          <w:sz w:val="28"/>
          <w:szCs w:val="28"/>
        </w:rPr>
        <w:lastRenderedPageBreak/>
        <w:t>городского округа Котельники Московской области за 201</w:t>
      </w:r>
      <w:r w:rsidR="005E3787">
        <w:rPr>
          <w:bCs/>
          <w:sz w:val="28"/>
          <w:szCs w:val="28"/>
        </w:rPr>
        <w:t>3</w:t>
      </w:r>
      <w:r w:rsidRPr="00EF4FFC">
        <w:rPr>
          <w:sz w:val="28"/>
          <w:szCs w:val="28"/>
        </w:rPr>
        <w:t>» принять к утверждению.</w:t>
      </w:r>
    </w:p>
    <w:p w:rsidR="00EF4FFC" w:rsidRPr="00EF4FFC" w:rsidRDefault="00EF4FFC" w:rsidP="00EF4FFC">
      <w:pPr>
        <w:autoSpaceDE w:val="0"/>
        <w:autoSpaceDN w:val="0"/>
        <w:adjustRightInd w:val="0"/>
        <w:rPr>
          <w:sz w:val="28"/>
          <w:szCs w:val="28"/>
        </w:rPr>
      </w:pPr>
    </w:p>
    <w:p w:rsidR="00EF4FFC" w:rsidRPr="00EF4FFC" w:rsidRDefault="00EF4FFC" w:rsidP="00EF4FFC">
      <w:pPr>
        <w:autoSpaceDE w:val="0"/>
        <w:autoSpaceDN w:val="0"/>
        <w:adjustRightInd w:val="0"/>
        <w:rPr>
          <w:sz w:val="28"/>
          <w:szCs w:val="28"/>
        </w:rPr>
      </w:pPr>
    </w:p>
    <w:p w:rsidR="00EF4FFC" w:rsidRPr="00EF4FFC" w:rsidRDefault="00EF4FFC" w:rsidP="00EF4FFC">
      <w:pPr>
        <w:autoSpaceDE w:val="0"/>
        <w:autoSpaceDN w:val="0"/>
        <w:adjustRightInd w:val="0"/>
        <w:rPr>
          <w:sz w:val="28"/>
          <w:szCs w:val="28"/>
        </w:rPr>
      </w:pPr>
      <w:r w:rsidRPr="00EF4FFC">
        <w:rPr>
          <w:sz w:val="28"/>
          <w:szCs w:val="28"/>
        </w:rPr>
        <w:t xml:space="preserve">Председатель </w:t>
      </w:r>
    </w:p>
    <w:p w:rsidR="00EF4FFC" w:rsidRPr="00EF4FFC" w:rsidRDefault="00EF4FFC" w:rsidP="00EF4FFC">
      <w:pPr>
        <w:autoSpaceDE w:val="0"/>
        <w:autoSpaceDN w:val="0"/>
        <w:adjustRightInd w:val="0"/>
        <w:rPr>
          <w:sz w:val="28"/>
          <w:szCs w:val="28"/>
        </w:rPr>
      </w:pPr>
      <w:r w:rsidRPr="00EF4FFC">
        <w:rPr>
          <w:sz w:val="28"/>
          <w:szCs w:val="28"/>
        </w:rPr>
        <w:t>Контрольно-счетно</w:t>
      </w:r>
      <w:r w:rsidR="005E3787">
        <w:rPr>
          <w:sz w:val="28"/>
          <w:szCs w:val="28"/>
        </w:rPr>
        <w:t>й</w:t>
      </w:r>
      <w:r w:rsidRPr="00EF4FFC">
        <w:rPr>
          <w:sz w:val="28"/>
          <w:szCs w:val="28"/>
        </w:rPr>
        <w:t xml:space="preserve"> </w:t>
      </w:r>
      <w:r w:rsidR="005E3787">
        <w:rPr>
          <w:sz w:val="28"/>
          <w:szCs w:val="28"/>
        </w:rPr>
        <w:t xml:space="preserve">палаты  </w:t>
      </w:r>
      <w:r w:rsidRPr="00EF4FFC">
        <w:rPr>
          <w:sz w:val="28"/>
          <w:szCs w:val="28"/>
        </w:rPr>
        <w:t xml:space="preserve">                                                           Г.Н. Стахеева</w:t>
      </w:r>
    </w:p>
    <w:sectPr w:rsidR="00EF4FFC" w:rsidRPr="00EF4FF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3D" w:rsidRDefault="00BE2D3D" w:rsidP="00956553">
      <w:r>
        <w:separator/>
      </w:r>
    </w:p>
  </w:endnote>
  <w:endnote w:type="continuationSeparator" w:id="0">
    <w:p w:rsidR="00BE2D3D" w:rsidRDefault="00BE2D3D" w:rsidP="0095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286616"/>
      <w:docPartObj>
        <w:docPartGallery w:val="Page Numbers (Bottom of Page)"/>
        <w:docPartUnique/>
      </w:docPartObj>
    </w:sdtPr>
    <w:sdtEndPr/>
    <w:sdtContent>
      <w:p w:rsidR="000563CB" w:rsidRDefault="000563C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482">
          <w:rPr>
            <w:noProof/>
          </w:rPr>
          <w:t>22</w:t>
        </w:r>
        <w:r>
          <w:fldChar w:fldCharType="end"/>
        </w:r>
      </w:p>
    </w:sdtContent>
  </w:sdt>
  <w:p w:rsidR="000563CB" w:rsidRDefault="000563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3D" w:rsidRDefault="00BE2D3D" w:rsidP="00956553">
      <w:r>
        <w:separator/>
      </w:r>
    </w:p>
  </w:footnote>
  <w:footnote w:type="continuationSeparator" w:id="0">
    <w:p w:rsidR="00BE2D3D" w:rsidRDefault="00BE2D3D" w:rsidP="0095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0A0"/>
    <w:multiLevelType w:val="hybridMultilevel"/>
    <w:tmpl w:val="A6687432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9A5306B"/>
    <w:multiLevelType w:val="hybridMultilevel"/>
    <w:tmpl w:val="28EC5C02"/>
    <w:lvl w:ilvl="0" w:tplc="4E8A9A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0A6631"/>
    <w:multiLevelType w:val="hybridMultilevel"/>
    <w:tmpl w:val="5D40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D280A"/>
    <w:multiLevelType w:val="hybridMultilevel"/>
    <w:tmpl w:val="45AADEB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675635F"/>
    <w:multiLevelType w:val="hybridMultilevel"/>
    <w:tmpl w:val="2CCE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E4FDE"/>
    <w:multiLevelType w:val="hybridMultilevel"/>
    <w:tmpl w:val="466E456E"/>
    <w:lvl w:ilvl="0" w:tplc="0172E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EE50E7"/>
    <w:multiLevelType w:val="hybridMultilevel"/>
    <w:tmpl w:val="A802F54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FC"/>
    <w:rsid w:val="00012015"/>
    <w:rsid w:val="000427F7"/>
    <w:rsid w:val="0004634B"/>
    <w:rsid w:val="000543C4"/>
    <w:rsid w:val="000563CB"/>
    <w:rsid w:val="0006609E"/>
    <w:rsid w:val="00074EDF"/>
    <w:rsid w:val="00075540"/>
    <w:rsid w:val="000950F2"/>
    <w:rsid w:val="000B05B1"/>
    <w:rsid w:val="000D6190"/>
    <w:rsid w:val="000E497D"/>
    <w:rsid w:val="000F2D08"/>
    <w:rsid w:val="000F6D9A"/>
    <w:rsid w:val="00140317"/>
    <w:rsid w:val="00153E2D"/>
    <w:rsid w:val="00155E35"/>
    <w:rsid w:val="001638D4"/>
    <w:rsid w:val="001A0193"/>
    <w:rsid w:val="001E6297"/>
    <w:rsid w:val="0021607D"/>
    <w:rsid w:val="002239C4"/>
    <w:rsid w:val="002306EC"/>
    <w:rsid w:val="0024277C"/>
    <w:rsid w:val="0025149F"/>
    <w:rsid w:val="00266D94"/>
    <w:rsid w:val="00273D41"/>
    <w:rsid w:val="00280068"/>
    <w:rsid w:val="002B69BF"/>
    <w:rsid w:val="002C44C9"/>
    <w:rsid w:val="0036488D"/>
    <w:rsid w:val="003658AD"/>
    <w:rsid w:val="003744D7"/>
    <w:rsid w:val="003A081D"/>
    <w:rsid w:val="00410812"/>
    <w:rsid w:val="00427F07"/>
    <w:rsid w:val="00481F4F"/>
    <w:rsid w:val="004903D7"/>
    <w:rsid w:val="00490D26"/>
    <w:rsid w:val="004D4DA6"/>
    <w:rsid w:val="004D7067"/>
    <w:rsid w:val="005160BB"/>
    <w:rsid w:val="00523377"/>
    <w:rsid w:val="00524AEA"/>
    <w:rsid w:val="00551599"/>
    <w:rsid w:val="00556FBA"/>
    <w:rsid w:val="0058758F"/>
    <w:rsid w:val="00592D10"/>
    <w:rsid w:val="005A085A"/>
    <w:rsid w:val="005A4587"/>
    <w:rsid w:val="005C76FD"/>
    <w:rsid w:val="005D0966"/>
    <w:rsid w:val="005E3787"/>
    <w:rsid w:val="005E5E8C"/>
    <w:rsid w:val="005E77BC"/>
    <w:rsid w:val="0061329F"/>
    <w:rsid w:val="006239F4"/>
    <w:rsid w:val="00640751"/>
    <w:rsid w:val="006970B1"/>
    <w:rsid w:val="00697CF2"/>
    <w:rsid w:val="006A11DC"/>
    <w:rsid w:val="006A1737"/>
    <w:rsid w:val="006B5971"/>
    <w:rsid w:val="007061B2"/>
    <w:rsid w:val="007C54DA"/>
    <w:rsid w:val="007C59E3"/>
    <w:rsid w:val="00834698"/>
    <w:rsid w:val="00845752"/>
    <w:rsid w:val="00887198"/>
    <w:rsid w:val="008967DB"/>
    <w:rsid w:val="008A0641"/>
    <w:rsid w:val="008A0FF1"/>
    <w:rsid w:val="008F521B"/>
    <w:rsid w:val="0090386C"/>
    <w:rsid w:val="00904CC5"/>
    <w:rsid w:val="0090758A"/>
    <w:rsid w:val="009471C9"/>
    <w:rsid w:val="00956553"/>
    <w:rsid w:val="0097267A"/>
    <w:rsid w:val="009A33B4"/>
    <w:rsid w:val="009B1464"/>
    <w:rsid w:val="00A3210D"/>
    <w:rsid w:val="00A91B3F"/>
    <w:rsid w:val="00AA3550"/>
    <w:rsid w:val="00AA7D23"/>
    <w:rsid w:val="00AD62D1"/>
    <w:rsid w:val="00B01F62"/>
    <w:rsid w:val="00B30BB7"/>
    <w:rsid w:val="00B61837"/>
    <w:rsid w:val="00B676A4"/>
    <w:rsid w:val="00B706CD"/>
    <w:rsid w:val="00B850A0"/>
    <w:rsid w:val="00BC4820"/>
    <w:rsid w:val="00BE2D3D"/>
    <w:rsid w:val="00C16593"/>
    <w:rsid w:val="00C35B1E"/>
    <w:rsid w:val="00C6198C"/>
    <w:rsid w:val="00CC22BD"/>
    <w:rsid w:val="00D51B93"/>
    <w:rsid w:val="00D64720"/>
    <w:rsid w:val="00D66E2A"/>
    <w:rsid w:val="00D80B2E"/>
    <w:rsid w:val="00DD0254"/>
    <w:rsid w:val="00DF456B"/>
    <w:rsid w:val="00E11D16"/>
    <w:rsid w:val="00E1203B"/>
    <w:rsid w:val="00E2784C"/>
    <w:rsid w:val="00E34280"/>
    <w:rsid w:val="00E53916"/>
    <w:rsid w:val="00E60B22"/>
    <w:rsid w:val="00E86234"/>
    <w:rsid w:val="00E91B03"/>
    <w:rsid w:val="00EE2C86"/>
    <w:rsid w:val="00EF4FFC"/>
    <w:rsid w:val="00EF5004"/>
    <w:rsid w:val="00F1412E"/>
    <w:rsid w:val="00F37482"/>
    <w:rsid w:val="00F515DB"/>
    <w:rsid w:val="00F53831"/>
    <w:rsid w:val="00F93D74"/>
    <w:rsid w:val="00FA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F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F4F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4FFC"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F4FFC"/>
    <w:pPr>
      <w:keepNext/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F4FFC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F4FFC"/>
    <w:pPr>
      <w:keepNext/>
      <w:jc w:val="center"/>
      <w:outlineLvl w:val="6"/>
    </w:pPr>
    <w:rPr>
      <w:rFonts w:ascii="Arial" w:hAnsi="Arial" w:cs="Arial"/>
      <w:b/>
    </w:rPr>
  </w:style>
  <w:style w:type="paragraph" w:styleId="8">
    <w:name w:val="heading 8"/>
    <w:basedOn w:val="a"/>
    <w:next w:val="a"/>
    <w:link w:val="80"/>
    <w:qFormat/>
    <w:rsid w:val="00EF4FFC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F4FFC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FFC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EF4FF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FF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F4FF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4FFC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EF4FFC"/>
    <w:rPr>
      <w:rFonts w:ascii="Arial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FFC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EF4FFC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834698"/>
    <w:rPr>
      <w:b/>
      <w:bCs/>
    </w:rPr>
  </w:style>
  <w:style w:type="paragraph" w:styleId="a4">
    <w:name w:val="Balloon Text"/>
    <w:basedOn w:val="a"/>
    <w:link w:val="a5"/>
    <w:uiPriority w:val="99"/>
    <w:unhideWhenUsed/>
    <w:rsid w:val="00EF4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F4FF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F4FF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6">
    <w:name w:val="footer"/>
    <w:basedOn w:val="a"/>
    <w:link w:val="a7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FC"/>
    <w:rPr>
      <w:sz w:val="24"/>
      <w:szCs w:val="24"/>
      <w:lang w:eastAsia="ru-RU"/>
    </w:rPr>
  </w:style>
  <w:style w:type="character" w:styleId="a8">
    <w:name w:val="page number"/>
    <w:basedOn w:val="a0"/>
    <w:rsid w:val="00EF4FFC"/>
  </w:style>
  <w:style w:type="paragraph" w:customStyle="1" w:styleId="ConsNonformat">
    <w:name w:val="ConsNonformat"/>
    <w:rsid w:val="00EF4FFC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1">
    <w:name w:val="Цитата1"/>
    <w:basedOn w:val="a"/>
    <w:rsid w:val="00EF4FFC"/>
    <w:pPr>
      <w:suppressAutoHyphens/>
      <w:ind w:left="900" w:right="120"/>
      <w:jc w:val="both"/>
    </w:pPr>
    <w:rPr>
      <w:lang w:eastAsia="ar-SA"/>
    </w:rPr>
  </w:style>
  <w:style w:type="paragraph" w:styleId="a9">
    <w:name w:val="Body Text"/>
    <w:aliases w:val="Основной текст 2a"/>
    <w:basedOn w:val="a"/>
    <w:link w:val="aa"/>
    <w:uiPriority w:val="99"/>
    <w:rsid w:val="00EF4FFC"/>
    <w:pPr>
      <w:jc w:val="center"/>
    </w:pPr>
    <w:rPr>
      <w:b/>
      <w:szCs w:val="20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uiPriority w:val="99"/>
    <w:rsid w:val="00EF4FFC"/>
    <w:rPr>
      <w:b/>
      <w:sz w:val="24"/>
      <w:lang w:val="en-US" w:eastAsia="ru-RU"/>
    </w:rPr>
  </w:style>
  <w:style w:type="paragraph" w:styleId="ab">
    <w:name w:val="Block Text"/>
    <w:basedOn w:val="a"/>
    <w:rsid w:val="00EF4FFC"/>
    <w:pPr>
      <w:ind w:left="-567" w:right="-1" w:firstLine="567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uiPriority w:val="99"/>
    <w:rsid w:val="00EF4FF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FC"/>
    <w:rPr>
      <w:sz w:val="24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rsid w:val="00EF4FFC"/>
    <w:pPr>
      <w:spacing w:line="360" w:lineRule="auto"/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rsid w:val="00EF4FFC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FFC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4FFC"/>
    <w:rPr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F4FFC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F4FFC"/>
    <w:rPr>
      <w:sz w:val="24"/>
      <w:szCs w:val="24"/>
      <w:lang w:eastAsia="ru-RU"/>
    </w:rPr>
  </w:style>
  <w:style w:type="paragraph" w:styleId="33">
    <w:name w:val="Body Text 3"/>
    <w:basedOn w:val="a"/>
    <w:link w:val="34"/>
    <w:rsid w:val="00EF4FF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EF4FFC"/>
    <w:rPr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4FFC"/>
    <w:rPr>
      <w:sz w:val="24"/>
      <w:szCs w:val="24"/>
      <w:lang w:eastAsia="ru-RU"/>
    </w:rPr>
  </w:style>
  <w:style w:type="character" w:customStyle="1" w:styleId="af0">
    <w:name w:val="Цветовое выделение"/>
    <w:rsid w:val="00EF4FFC"/>
    <w:rPr>
      <w:b/>
      <w:bCs/>
      <w:color w:val="000080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F4FFC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uiPriority w:val="99"/>
    <w:rsid w:val="00EF4FFC"/>
    <w:rPr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EF4FFC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EF4FFC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F4FFC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4FFC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EF4FFC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EF4FFC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EF4FFC"/>
    <w:pPr>
      <w:ind w:right="-1"/>
      <w:jc w:val="both"/>
    </w:pPr>
    <w:rPr>
      <w:szCs w:val="20"/>
    </w:rPr>
  </w:style>
  <w:style w:type="character" w:customStyle="1" w:styleId="af3">
    <w:name w:val="Гипертекстовая ссылка"/>
    <w:rsid w:val="00EF4FFC"/>
    <w:rPr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"/>
    <w:next w:val="a"/>
    <w:rsid w:val="00EF4F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Комментарий"/>
    <w:basedOn w:val="a"/>
    <w:next w:val="a"/>
    <w:rsid w:val="00EF4F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f6">
    <w:name w:val="Table Grid"/>
    <w:basedOn w:val="a1"/>
    <w:rsid w:val="00EF4FF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7">
    <w:name w:val="footnote text"/>
    <w:basedOn w:val="a"/>
    <w:link w:val="af8"/>
    <w:rsid w:val="00EF4F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F4FFC"/>
    <w:rPr>
      <w:lang w:eastAsia="ru-RU"/>
    </w:rPr>
  </w:style>
  <w:style w:type="character" w:styleId="af9">
    <w:name w:val="footnote reference"/>
    <w:rsid w:val="00EF4FFC"/>
    <w:rPr>
      <w:vertAlign w:val="superscript"/>
    </w:rPr>
  </w:style>
  <w:style w:type="paragraph" w:styleId="afa">
    <w:name w:val="Normal (Web)"/>
    <w:basedOn w:val="a"/>
    <w:uiPriority w:val="99"/>
    <w:rsid w:val="00EF4FF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F4FF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fb">
    <w:name w:val="Hyperlink"/>
    <w:uiPriority w:val="99"/>
    <w:unhideWhenUsed/>
    <w:rsid w:val="00EF4FFC"/>
    <w:rPr>
      <w:color w:val="0000FF"/>
      <w:u w:val="single"/>
    </w:rPr>
  </w:style>
  <w:style w:type="character" w:styleId="afc">
    <w:name w:val="FollowedHyperlink"/>
    <w:uiPriority w:val="99"/>
    <w:unhideWhenUsed/>
    <w:rsid w:val="00EF4FFC"/>
    <w:rPr>
      <w:color w:val="800080"/>
      <w:u w:val="single"/>
    </w:rPr>
  </w:style>
  <w:style w:type="paragraph" w:styleId="afd">
    <w:name w:val="List Paragraph"/>
    <w:basedOn w:val="a"/>
    <w:uiPriority w:val="34"/>
    <w:qFormat/>
    <w:rsid w:val="00EF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F4F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Preformat">
    <w:name w:val="Preformat"/>
    <w:uiPriority w:val="99"/>
    <w:rsid w:val="00EF4FFC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ru-RU"/>
    </w:rPr>
  </w:style>
  <w:style w:type="paragraph" w:customStyle="1" w:styleId="Context">
    <w:name w:val="Context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eastAsia="ru-RU"/>
    </w:rPr>
  </w:style>
  <w:style w:type="paragraph" w:customStyle="1" w:styleId="cb">
    <w:name w:val="cb"/>
    <w:basedOn w:val="a"/>
    <w:uiPriority w:val="99"/>
    <w:rsid w:val="00EF4F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c4">
    <w:name w:val="c4"/>
    <w:basedOn w:val="a"/>
    <w:uiPriority w:val="99"/>
    <w:rsid w:val="00EF4FFC"/>
    <w:pPr>
      <w:spacing w:before="100" w:beforeAutospacing="1" w:after="100" w:afterAutospacing="1"/>
    </w:pPr>
    <w:rPr>
      <w:b/>
      <w:bCs/>
    </w:rPr>
  </w:style>
  <w:style w:type="paragraph" w:customStyle="1" w:styleId="26">
    <w:name w:val="Знак Знак Знак Знак Знак Знак2 Знак"/>
    <w:basedOn w:val="a"/>
    <w:uiPriority w:val="99"/>
    <w:rsid w:val="00EF4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rsid w:val="00EF4FFC"/>
  </w:style>
  <w:style w:type="paragraph" w:customStyle="1" w:styleId="CharChar0">
    <w:name w:val="Char Char Знак Знак Знак"/>
    <w:basedOn w:val="a"/>
    <w:rsid w:val="006A11D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280068"/>
    <w:pPr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f6"/>
    <w:rsid w:val="001A0193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F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F4F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4FFC"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F4FFC"/>
    <w:pPr>
      <w:keepNext/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F4FFC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F4FFC"/>
    <w:pPr>
      <w:keepNext/>
      <w:jc w:val="center"/>
      <w:outlineLvl w:val="6"/>
    </w:pPr>
    <w:rPr>
      <w:rFonts w:ascii="Arial" w:hAnsi="Arial" w:cs="Arial"/>
      <w:b/>
    </w:rPr>
  </w:style>
  <w:style w:type="paragraph" w:styleId="8">
    <w:name w:val="heading 8"/>
    <w:basedOn w:val="a"/>
    <w:next w:val="a"/>
    <w:link w:val="80"/>
    <w:qFormat/>
    <w:rsid w:val="00EF4FFC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F4FFC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FFC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EF4FF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FF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F4FF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4FFC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EF4FFC"/>
    <w:rPr>
      <w:rFonts w:ascii="Arial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FFC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EF4FFC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834698"/>
    <w:rPr>
      <w:b/>
      <w:bCs/>
    </w:rPr>
  </w:style>
  <w:style w:type="paragraph" w:styleId="a4">
    <w:name w:val="Balloon Text"/>
    <w:basedOn w:val="a"/>
    <w:link w:val="a5"/>
    <w:uiPriority w:val="99"/>
    <w:unhideWhenUsed/>
    <w:rsid w:val="00EF4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F4FF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F4FF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6">
    <w:name w:val="footer"/>
    <w:basedOn w:val="a"/>
    <w:link w:val="a7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FC"/>
    <w:rPr>
      <w:sz w:val="24"/>
      <w:szCs w:val="24"/>
      <w:lang w:eastAsia="ru-RU"/>
    </w:rPr>
  </w:style>
  <w:style w:type="character" w:styleId="a8">
    <w:name w:val="page number"/>
    <w:basedOn w:val="a0"/>
    <w:rsid w:val="00EF4FFC"/>
  </w:style>
  <w:style w:type="paragraph" w:customStyle="1" w:styleId="ConsNonformat">
    <w:name w:val="ConsNonformat"/>
    <w:rsid w:val="00EF4FFC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1">
    <w:name w:val="Цитата1"/>
    <w:basedOn w:val="a"/>
    <w:rsid w:val="00EF4FFC"/>
    <w:pPr>
      <w:suppressAutoHyphens/>
      <w:ind w:left="900" w:right="120"/>
      <w:jc w:val="both"/>
    </w:pPr>
    <w:rPr>
      <w:lang w:eastAsia="ar-SA"/>
    </w:rPr>
  </w:style>
  <w:style w:type="paragraph" w:styleId="a9">
    <w:name w:val="Body Text"/>
    <w:aliases w:val="Основной текст 2a"/>
    <w:basedOn w:val="a"/>
    <w:link w:val="aa"/>
    <w:uiPriority w:val="99"/>
    <w:rsid w:val="00EF4FFC"/>
    <w:pPr>
      <w:jc w:val="center"/>
    </w:pPr>
    <w:rPr>
      <w:b/>
      <w:szCs w:val="20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uiPriority w:val="99"/>
    <w:rsid w:val="00EF4FFC"/>
    <w:rPr>
      <w:b/>
      <w:sz w:val="24"/>
      <w:lang w:val="en-US" w:eastAsia="ru-RU"/>
    </w:rPr>
  </w:style>
  <w:style w:type="paragraph" w:styleId="ab">
    <w:name w:val="Block Text"/>
    <w:basedOn w:val="a"/>
    <w:rsid w:val="00EF4FFC"/>
    <w:pPr>
      <w:ind w:left="-567" w:right="-1" w:firstLine="567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uiPriority w:val="99"/>
    <w:rsid w:val="00EF4FF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FC"/>
    <w:rPr>
      <w:sz w:val="24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rsid w:val="00EF4FFC"/>
    <w:pPr>
      <w:spacing w:line="360" w:lineRule="auto"/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rsid w:val="00EF4FFC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FFC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4FFC"/>
    <w:rPr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F4FFC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F4FFC"/>
    <w:rPr>
      <w:sz w:val="24"/>
      <w:szCs w:val="24"/>
      <w:lang w:eastAsia="ru-RU"/>
    </w:rPr>
  </w:style>
  <w:style w:type="paragraph" w:styleId="33">
    <w:name w:val="Body Text 3"/>
    <w:basedOn w:val="a"/>
    <w:link w:val="34"/>
    <w:rsid w:val="00EF4FF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EF4FFC"/>
    <w:rPr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4FFC"/>
    <w:rPr>
      <w:sz w:val="24"/>
      <w:szCs w:val="24"/>
      <w:lang w:eastAsia="ru-RU"/>
    </w:rPr>
  </w:style>
  <w:style w:type="character" w:customStyle="1" w:styleId="af0">
    <w:name w:val="Цветовое выделение"/>
    <w:rsid w:val="00EF4FFC"/>
    <w:rPr>
      <w:b/>
      <w:bCs/>
      <w:color w:val="000080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F4FFC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uiPriority w:val="99"/>
    <w:rsid w:val="00EF4FFC"/>
    <w:rPr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EF4FFC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EF4FFC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F4FFC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4FFC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EF4FFC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EF4FFC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EF4FFC"/>
    <w:pPr>
      <w:ind w:right="-1"/>
      <w:jc w:val="both"/>
    </w:pPr>
    <w:rPr>
      <w:szCs w:val="20"/>
    </w:rPr>
  </w:style>
  <w:style w:type="character" w:customStyle="1" w:styleId="af3">
    <w:name w:val="Гипертекстовая ссылка"/>
    <w:rsid w:val="00EF4FFC"/>
    <w:rPr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"/>
    <w:next w:val="a"/>
    <w:rsid w:val="00EF4F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Комментарий"/>
    <w:basedOn w:val="a"/>
    <w:next w:val="a"/>
    <w:rsid w:val="00EF4F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f6">
    <w:name w:val="Table Grid"/>
    <w:basedOn w:val="a1"/>
    <w:rsid w:val="00EF4FF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7">
    <w:name w:val="footnote text"/>
    <w:basedOn w:val="a"/>
    <w:link w:val="af8"/>
    <w:rsid w:val="00EF4F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F4FFC"/>
    <w:rPr>
      <w:lang w:eastAsia="ru-RU"/>
    </w:rPr>
  </w:style>
  <w:style w:type="character" w:styleId="af9">
    <w:name w:val="footnote reference"/>
    <w:rsid w:val="00EF4FFC"/>
    <w:rPr>
      <w:vertAlign w:val="superscript"/>
    </w:rPr>
  </w:style>
  <w:style w:type="paragraph" w:styleId="afa">
    <w:name w:val="Normal (Web)"/>
    <w:basedOn w:val="a"/>
    <w:uiPriority w:val="99"/>
    <w:rsid w:val="00EF4FF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F4FF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fb">
    <w:name w:val="Hyperlink"/>
    <w:uiPriority w:val="99"/>
    <w:unhideWhenUsed/>
    <w:rsid w:val="00EF4FFC"/>
    <w:rPr>
      <w:color w:val="0000FF"/>
      <w:u w:val="single"/>
    </w:rPr>
  </w:style>
  <w:style w:type="character" w:styleId="afc">
    <w:name w:val="FollowedHyperlink"/>
    <w:uiPriority w:val="99"/>
    <w:unhideWhenUsed/>
    <w:rsid w:val="00EF4FFC"/>
    <w:rPr>
      <w:color w:val="800080"/>
      <w:u w:val="single"/>
    </w:rPr>
  </w:style>
  <w:style w:type="paragraph" w:styleId="afd">
    <w:name w:val="List Paragraph"/>
    <w:basedOn w:val="a"/>
    <w:uiPriority w:val="34"/>
    <w:qFormat/>
    <w:rsid w:val="00EF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F4F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Preformat">
    <w:name w:val="Preformat"/>
    <w:uiPriority w:val="99"/>
    <w:rsid w:val="00EF4FFC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ru-RU"/>
    </w:rPr>
  </w:style>
  <w:style w:type="paragraph" w:customStyle="1" w:styleId="Context">
    <w:name w:val="Context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eastAsia="ru-RU"/>
    </w:rPr>
  </w:style>
  <w:style w:type="paragraph" w:customStyle="1" w:styleId="cb">
    <w:name w:val="cb"/>
    <w:basedOn w:val="a"/>
    <w:uiPriority w:val="99"/>
    <w:rsid w:val="00EF4F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c4">
    <w:name w:val="c4"/>
    <w:basedOn w:val="a"/>
    <w:uiPriority w:val="99"/>
    <w:rsid w:val="00EF4FFC"/>
    <w:pPr>
      <w:spacing w:before="100" w:beforeAutospacing="1" w:after="100" w:afterAutospacing="1"/>
    </w:pPr>
    <w:rPr>
      <w:b/>
      <w:bCs/>
    </w:rPr>
  </w:style>
  <w:style w:type="paragraph" w:customStyle="1" w:styleId="26">
    <w:name w:val="Знак Знак Знак Знак Знак Знак2 Знак"/>
    <w:basedOn w:val="a"/>
    <w:uiPriority w:val="99"/>
    <w:rsid w:val="00EF4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rsid w:val="00EF4FFC"/>
  </w:style>
  <w:style w:type="paragraph" w:customStyle="1" w:styleId="CharChar0">
    <w:name w:val="Char Char Знак Знак Знак"/>
    <w:basedOn w:val="a"/>
    <w:rsid w:val="006A11D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280068"/>
    <w:pPr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f6"/>
    <w:rsid w:val="001A0193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kso_kotelniki@mail.ru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r>
              <a:rPr lang="ru-RU" baseline="0">
                <a:latin typeface="Times New Roman" panose="02020603050405020304" pitchFamily="18" charset="0"/>
              </a:rPr>
              <a:t>Поквартальное исполнение доходообразующих источников в 2013 году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'Поквартал исп доход'!$A$2</c:f>
              <c:strCache>
                <c:ptCount val="1"/>
              </c:strCache>
            </c:strRef>
          </c:tx>
          <c:invertIfNegative val="0"/>
          <c:cat>
            <c:strRef>
              <c:f>'Поквартал исп доход'!$B$1:$E$1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'Поквартал исп доход'!$B$2:$E$2</c:f>
              <c:numCache>
                <c:formatCode>0.00%</c:formatCode>
                <c:ptCount val="4"/>
                <c:pt idx="0">
                  <c:v>0.20499999999999999</c:v>
                </c:pt>
                <c:pt idx="1">
                  <c:v>0.25600000000000001</c:v>
                </c:pt>
                <c:pt idx="2">
                  <c:v>0.218</c:v>
                </c:pt>
                <c:pt idx="3">
                  <c:v>0.32200000000000001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52409984"/>
        <c:axId val="152411520"/>
        <c:axId val="0"/>
      </c:bar3DChart>
      <c:catAx>
        <c:axId val="152409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2411520"/>
        <c:crosses val="autoZero"/>
        <c:auto val="1"/>
        <c:lblAlgn val="ctr"/>
        <c:lblOffset val="100"/>
        <c:noMultiLvlLbl val="0"/>
      </c:catAx>
      <c:valAx>
        <c:axId val="152411520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524099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 sz="1400" baseline="0"/>
              <a:t>Удельный вес поступлений в составе налоговых и неналоговых доходов за 2012 год и 2013 год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'Доходы уд. вес'!$A$2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'Доходы уд. вес'!$B$1:$K$1</c:f>
              <c:strCache>
                <c:ptCount val="10"/>
                <c:pt idx="0">
                  <c:v>Налог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Государственная пошлина </c:v>
                </c:pt>
                <c:pt idx="4">
                  <c:v>Задолжность и перерасчеты по отмененным налогам, сборам и иным обяз. плат.</c:v>
                </c:pt>
                <c:pt idx="5">
                  <c:v>Доходы от использования имущества, находящегося в мун.собств.</c:v>
                </c:pt>
                <c:pt idx="6">
                  <c:v>Платежи при использовании природными ресурсами</c:v>
                </c:pt>
                <c:pt idx="7">
                  <c:v>Доходы от продажи материальных и нематериальных активов</c:v>
                </c:pt>
                <c:pt idx="8">
                  <c:v>Штрафы, санкции, возмещение ущерба</c:v>
                </c:pt>
                <c:pt idx="9">
                  <c:v>Прочие неналоговые доходы</c:v>
                </c:pt>
              </c:strCache>
            </c:strRef>
          </c:cat>
          <c:val>
            <c:numRef>
              <c:f>'Доходы уд. вес'!$B$2:$K$2</c:f>
              <c:numCache>
                <c:formatCode>0.00%</c:formatCode>
                <c:ptCount val="10"/>
                <c:pt idx="0">
                  <c:v>0.46989999999999998</c:v>
                </c:pt>
                <c:pt idx="1">
                  <c:v>0.1198</c:v>
                </c:pt>
                <c:pt idx="2">
                  <c:v>0.19009999999999999</c:v>
                </c:pt>
                <c:pt idx="3">
                  <c:v>4.0000000000000002E-4</c:v>
                </c:pt>
                <c:pt idx="4">
                  <c:v>0</c:v>
                </c:pt>
                <c:pt idx="5">
                  <c:v>0.13780000000000001</c:v>
                </c:pt>
                <c:pt idx="6">
                  <c:v>8.0000000000000004E-4</c:v>
                </c:pt>
                <c:pt idx="7">
                  <c:v>4.1500000000000002E-2</c:v>
                </c:pt>
                <c:pt idx="8">
                  <c:v>0.03</c:v>
                </c:pt>
                <c:pt idx="9">
                  <c:v>9.7000000000000003E-3</c:v>
                </c:pt>
              </c:numCache>
            </c:numRef>
          </c:val>
        </c:ser>
        <c:ser>
          <c:idx val="1"/>
          <c:order val="1"/>
          <c:tx>
            <c:strRef>
              <c:f>'Доходы уд. вес'!$A$3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'Доходы уд. вес'!$B$1:$K$1</c:f>
              <c:strCache>
                <c:ptCount val="10"/>
                <c:pt idx="0">
                  <c:v>Налог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Государственная пошлина </c:v>
                </c:pt>
                <c:pt idx="4">
                  <c:v>Задолжность и перерасчеты по отмененным налогам, сборам и иным обяз. плат.</c:v>
                </c:pt>
                <c:pt idx="5">
                  <c:v>Доходы от использования имущества, находящегося в мун.собств.</c:v>
                </c:pt>
                <c:pt idx="6">
                  <c:v>Платежи при использовании природными ресурсами</c:v>
                </c:pt>
                <c:pt idx="7">
                  <c:v>Доходы от продажи материальных и нематериальных активов</c:v>
                </c:pt>
                <c:pt idx="8">
                  <c:v>Штрафы, санкции, возмещение ущерба</c:v>
                </c:pt>
                <c:pt idx="9">
                  <c:v>Прочие неналоговые доходы</c:v>
                </c:pt>
              </c:strCache>
            </c:strRef>
          </c:cat>
          <c:val>
            <c:numRef>
              <c:f>'Доходы уд. вес'!$B$3:$K$3</c:f>
              <c:numCache>
                <c:formatCode>0.00%</c:formatCode>
                <c:ptCount val="10"/>
                <c:pt idx="0">
                  <c:v>0.443</c:v>
                </c:pt>
                <c:pt idx="1">
                  <c:v>6.7000000000000004E-2</c:v>
                </c:pt>
                <c:pt idx="2">
                  <c:v>0.155</c:v>
                </c:pt>
                <c:pt idx="3">
                  <c:v>1.1999999999999999E-3</c:v>
                </c:pt>
                <c:pt idx="4">
                  <c:v>0</c:v>
                </c:pt>
                <c:pt idx="5">
                  <c:v>0.126</c:v>
                </c:pt>
                <c:pt idx="6">
                  <c:v>8.0000000000000004E-4</c:v>
                </c:pt>
                <c:pt idx="7">
                  <c:v>0.17199999999999999</c:v>
                </c:pt>
                <c:pt idx="8">
                  <c:v>3.6400000000000002E-2</c:v>
                </c:pt>
                <c:pt idx="9">
                  <c:v>2.9999999999999997E-4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248000"/>
        <c:axId val="35249536"/>
        <c:axId val="0"/>
      </c:bar3DChart>
      <c:catAx>
        <c:axId val="35248000"/>
        <c:scaling>
          <c:orientation val="minMax"/>
        </c:scaling>
        <c:delete val="0"/>
        <c:axPos val="b"/>
        <c:majorTickMark val="none"/>
        <c:minorTickMark val="none"/>
        <c:tickLblPos val="nextTo"/>
        <c:crossAx val="35249536"/>
        <c:crosses val="autoZero"/>
        <c:auto val="1"/>
        <c:lblAlgn val="ctr"/>
        <c:lblOffset val="100"/>
        <c:noMultiLvlLbl val="0"/>
      </c:catAx>
      <c:valAx>
        <c:axId val="35249536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52480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aseline="0"/>
            </a:pPr>
            <a:endParaRPr lang="ru-RU"/>
          </a:p>
        </c:txPr>
      </c:dTable>
    </c:plotArea>
    <c:plotVisOnly val="1"/>
    <c:dispBlanksAs val="gap"/>
    <c:showDLblsOverMax val="0"/>
  </c:chart>
  <c:txPr>
    <a:bodyPr/>
    <a:lstStyle/>
    <a:p>
      <a:pPr>
        <a:defRPr sz="10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Поквартальное исполнение расходных обязательств в 2013 году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'Поквартал исп расход'!$A$2</c:f>
              <c:strCache>
                <c:ptCount val="1"/>
              </c:strCache>
            </c:strRef>
          </c:tx>
          <c:invertIfNegative val="0"/>
          <c:cat>
            <c:strRef>
              <c:f>'Поквартал исп расход'!$B$1:$E$1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'Поквартал исп расход'!$B$2:$E$2</c:f>
              <c:numCache>
                <c:formatCode>0.00%</c:formatCode>
                <c:ptCount val="4"/>
                <c:pt idx="0">
                  <c:v>0.17549999999999999</c:v>
                </c:pt>
                <c:pt idx="1">
                  <c:v>0.2266</c:v>
                </c:pt>
                <c:pt idx="2">
                  <c:v>0.24610000000000001</c:v>
                </c:pt>
                <c:pt idx="3">
                  <c:v>0.35160000000000002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35206272"/>
        <c:axId val="35207808"/>
        <c:axId val="0"/>
      </c:bar3DChart>
      <c:catAx>
        <c:axId val="35206272"/>
        <c:scaling>
          <c:orientation val="minMax"/>
        </c:scaling>
        <c:delete val="0"/>
        <c:axPos val="b"/>
        <c:majorTickMark val="none"/>
        <c:minorTickMark val="none"/>
        <c:tickLblPos val="nextTo"/>
        <c:crossAx val="35207808"/>
        <c:crosses val="autoZero"/>
        <c:auto val="1"/>
        <c:lblAlgn val="ctr"/>
        <c:lblOffset val="100"/>
        <c:noMultiLvlLbl val="0"/>
      </c:catAx>
      <c:valAx>
        <c:axId val="35207808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52062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 baseline="0">
                <a:latin typeface="Times New Roman" panose="02020603050405020304" pitchFamily="18" charset="0"/>
              </a:defRPr>
            </a:pPr>
            <a:r>
              <a:rPr lang="ru-RU" sz="1300" baseline="0">
                <a:latin typeface="Times New Roman" panose="02020603050405020304" pitchFamily="18" charset="0"/>
              </a:rPr>
              <a:t>Удельный вес в общей сумме исполнения расходной части бюджета в разрезе разделов функциональной классификации за 2012 год и 2013 год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697643261966225E-2"/>
          <c:y val="0.18081589974786508"/>
          <c:w val="0.91612309289126359"/>
          <c:h val="0.406526266409054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'Расходы уд. вес'!$A$2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'Расходы уд. вес'!$B$1:$M$1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Культура. Кинематография и средства массовой информации</c:v>
                </c:pt>
                <c:pt idx="8">
                  <c:v>Здравоохранение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Межбюджетные трансферты</c:v>
                </c:pt>
              </c:strCache>
            </c:strRef>
          </c:cat>
          <c:val>
            <c:numRef>
              <c:f>'Расходы уд. вес'!$B$2:$M$2</c:f>
              <c:numCache>
                <c:formatCode>0.00%</c:formatCode>
                <c:ptCount val="12"/>
                <c:pt idx="0">
                  <c:v>0.23039999999999999</c:v>
                </c:pt>
                <c:pt idx="1">
                  <c:v>8.9999999999999993E-3</c:v>
                </c:pt>
                <c:pt idx="2">
                  <c:v>4.1999999999999997E-3</c:v>
                </c:pt>
                <c:pt idx="3">
                  <c:v>4.1999999999999997E-3</c:v>
                </c:pt>
                <c:pt idx="4">
                  <c:v>0.14349999999999999</c:v>
                </c:pt>
                <c:pt idx="5">
                  <c:v>5.9999999999999995E-4</c:v>
                </c:pt>
                <c:pt idx="6">
                  <c:v>0.4536</c:v>
                </c:pt>
                <c:pt idx="7">
                  <c:v>6.5799999999999997E-2</c:v>
                </c:pt>
                <c:pt idx="8">
                  <c:v>4.1000000000000002E-2</c:v>
                </c:pt>
                <c:pt idx="9">
                  <c:v>2.23E-2</c:v>
                </c:pt>
                <c:pt idx="10">
                  <c:v>2.8000000000000001E-2</c:v>
                </c:pt>
                <c:pt idx="11">
                  <c:v>5.4000000000000003E-3</c:v>
                </c:pt>
              </c:numCache>
            </c:numRef>
          </c:val>
        </c:ser>
        <c:ser>
          <c:idx val="1"/>
          <c:order val="1"/>
          <c:tx>
            <c:strRef>
              <c:f>'Расходы уд. вес'!$A$3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'Расходы уд. вес'!$B$1:$M$1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Культура. Кинематография и средства массовой информации</c:v>
                </c:pt>
                <c:pt idx="8">
                  <c:v>Здравоохранение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Межбюджетные трансферты</c:v>
                </c:pt>
              </c:strCache>
            </c:strRef>
          </c:cat>
          <c:val>
            <c:numRef>
              <c:f>'Расходы уд. вес'!$B$3:$M$3</c:f>
              <c:numCache>
                <c:formatCode>0.00%</c:formatCode>
                <c:ptCount val="12"/>
                <c:pt idx="0">
                  <c:v>0.20580000000000001</c:v>
                </c:pt>
                <c:pt idx="1">
                  <c:v>2E-3</c:v>
                </c:pt>
                <c:pt idx="2">
                  <c:v>4.3E-3</c:v>
                </c:pt>
                <c:pt idx="3">
                  <c:v>3.5000000000000001E-3</c:v>
                </c:pt>
                <c:pt idx="4">
                  <c:v>0.106</c:v>
                </c:pt>
                <c:pt idx="5">
                  <c:v>0</c:v>
                </c:pt>
                <c:pt idx="6">
                  <c:v>0.501</c:v>
                </c:pt>
                <c:pt idx="7">
                  <c:v>5.7000000000000002E-2</c:v>
                </c:pt>
                <c:pt idx="8">
                  <c:v>6.7000000000000004E-2</c:v>
                </c:pt>
                <c:pt idx="9">
                  <c:v>2.3E-2</c:v>
                </c:pt>
                <c:pt idx="10">
                  <c:v>2.7E-2</c:v>
                </c:pt>
                <c:pt idx="11">
                  <c:v>1.0999999999999999E-2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496320"/>
        <c:axId val="35497856"/>
        <c:axId val="0"/>
      </c:bar3DChart>
      <c:catAx>
        <c:axId val="35496320"/>
        <c:scaling>
          <c:orientation val="minMax"/>
        </c:scaling>
        <c:delete val="0"/>
        <c:axPos val="b"/>
        <c:majorTickMark val="none"/>
        <c:minorTickMark val="none"/>
        <c:tickLblPos val="nextTo"/>
        <c:crossAx val="35497856"/>
        <c:crosses val="autoZero"/>
        <c:auto val="1"/>
        <c:lblAlgn val="ctr"/>
        <c:lblOffset val="100"/>
        <c:noMultiLvlLbl val="0"/>
      </c:catAx>
      <c:valAx>
        <c:axId val="35497856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354963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aseline="0">
                <a:latin typeface="Times New Roman" panose="02020603050405020304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6605</Words>
  <Characters>37654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cp:lastPrinted>2014-04-14T10:55:00Z</cp:lastPrinted>
  <dcterms:created xsi:type="dcterms:W3CDTF">2014-04-15T08:32:00Z</dcterms:created>
  <dcterms:modified xsi:type="dcterms:W3CDTF">2014-04-17T06:21:00Z</dcterms:modified>
</cp:coreProperties>
</file>